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
      </w:pPr>
      <w:r>
        <w:t>AI Acceptable Use Policy</w:t>
      </w:r>
    </w:p>
    <w:p>
      <w:pPr>
        <w:pStyle w:val="Body"/>
      </w:pPr>
      <w:r>
        <w:rPr/>
        <w:t xml:space="preserve">A policy for staff use of AI tools: permitted and prohibited uses, data handling, disclosure and reporting, with the prohibited practices drawn from the law.</w:t>
      </w:r>
    </w:p>
    <w:tbl>
      <w:tblGrid>
        <w:gridCol w:w="2400" w:type="dxa"/>
        <w:gridCol w:w="7200" w:type="dxa"/>
      </w:tblGrid>
      <w:tblPr>
        <w:tblStyle w:val="Grid"/>
      </w:tblPr>
      <w:tr>
        <w:trPr/>
        <w:tc>
          <w:tcPr>
            <w:tcW w:w="2400" w:type="dxa"/>
            <w:noWrap/>
          </w:tcPr>
          <w:p>
            <w:pPr/>
            <w:r>
              <w:rPr>
                <w:b w:val="1"/>
                <w:bCs w:val="1"/>
              </w:rPr>
              <w:t xml:space="preserve">Version</w:t>
            </w:r>
          </w:p>
        </w:tc>
        <w:tc>
          <w:tcPr>
            <w:tcW w:w="7200" w:type="dxa"/>
            <w:noWrap/>
          </w:tcPr>
          <w:p>
            <w:pPr/>
            <w:r>
              <w:rPr/>
              <w:t xml:space="preserve">v1</w:t>
            </w:r>
          </w:p>
        </w:tc>
      </w:tr>
      <w:tr>
        <w:trPr/>
        <w:tc>
          <w:tcPr>
            <w:tcW w:w="2400" w:type="dxa"/>
            <w:noWrap/>
          </w:tcPr>
          <w:p>
            <w:pPr/>
            <w:r>
              <w:rPr>
                <w:b w:val="1"/>
                <w:bCs w:val="1"/>
              </w:rPr>
              <w:t xml:space="preserve">Generated</w:t>
            </w:r>
          </w:p>
        </w:tc>
        <w:tc>
          <w:tcPr>
            <w:tcW w:w="7200" w:type="dxa"/>
            <w:noWrap/>
          </w:tcPr>
          <w:p>
            <w:pPr/>
            <w:r>
              <w:rPr/>
              <w:t xml:space="preserve">2026-09-26</w:t>
            </w:r>
          </w:p>
        </w:tc>
      </w:tr>
      <w:tr>
        <w:trPr/>
        <w:tc>
          <w:tcPr>
            <w:tcW w:w="2400" w:type="dxa"/>
            <w:noWrap/>
          </w:tcPr>
          <w:p>
            <w:pPr/>
            <w:r>
              <w:rPr>
                <w:b w:val="1"/>
                <w:bCs w:val="1"/>
              </w:rPr>
              <w:t xml:space="preserve">Dataset version</w:t>
            </w:r>
          </w:p>
        </w:tc>
        <w:tc>
          <w:tcPr>
            <w:tcW w:w="7200" w:type="dxa"/>
            <w:noWrap/>
          </w:tcPr>
          <w:p>
            <w:pPr/>
            <w:r>
              <w:rPr/>
              <w:t xml:space="preserve">7c0835db52c1</w:t>
            </w:r>
          </w:p>
        </w:tc>
      </w:tr>
      <w:tr>
        <w:trPr/>
        <w:tc>
          <w:tcPr>
            <w:tcW w:w="2400" w:type="dxa"/>
            <w:noWrap/>
          </w:tcPr>
          <w:p>
            <w:pPr/>
            <w:r>
              <w:rPr>
                <w:b w:val="1"/>
                <w:bCs w:val="1"/>
              </w:rPr>
              <w:t xml:space="preserve">Source</w:t>
            </w:r>
          </w:p>
        </w:tc>
        <w:tc>
          <w:tcPr>
            <w:tcW w:w="7200" w:type="dxa"/>
            <w:noWrap/>
          </w:tcPr>
          <w:p>
            <w:hyperlink r:id="rId7" w:history="1">
              <w:r>
                <w:rPr>
                  <w:color w:val="006AAC"/>
                  <w:u w:val="single"/>
                </w:rPr>
                <w:t xml:space="preserve">https://aipolicytracker.org/templates/acceptable-use-policy</w:t>
              </w:r>
            </w:hyperlink>
          </w:p>
        </w:tc>
      </w:tr>
      <w:tr>
        <w:trPr/>
        <w:tc>
          <w:tcPr>
            <w:tcW w:w="2400" w:type="dxa"/>
            <w:noWrap/>
          </w:tcPr>
          <w:p>
            <w:pPr/>
            <w:r>
              <w:rPr>
                <w:b w:val="1"/>
                <w:bCs w:val="1"/>
              </w:rPr>
              <w:t xml:space="preserve">Licence</w:t>
            </w:r>
          </w:p>
        </w:tc>
        <w:tc>
          <w:tcPr>
            <w:tcW w:w="7200" w:type="dxa"/>
            <w:noWrap/>
          </w:tcPr>
          <w:p>
            <w:pPr/>
            <w:r>
              <w:rPr/>
              <w:t xml:space="preserve">CC BY 4.0. You may use, adapt and share this template, including commercially, with attribution to aipolicytracker.org.</w:t>
            </w:r>
          </w:p>
        </w:tc>
      </w:tr>
    </w:tbl>
    <w:p/>
    <w:p>
      <w:pPr/>
      <w:r>
        <w:rPr>
          <w:b w:val="1"/>
          <w:bCs w:val="1"/>
        </w:rPr>
        <w:t xml:space="preserve">Disclaimer</w:t>
      </w:r>
    </w:p>
    <w:p>
      <w:pPr>
        <w:pStyle w:val="Small"/>
      </w:pPr>
      <w:r>
        <w:rPr>
          <w:color w:val="5D6B7E"/>
          <w:sz w:val="18"/>
          <w:szCs w:val="18"/>
        </w:rPr>
        <w:t xml:space="preserve">This template is generated from the records on aipolicytracker.org. It is an informational resource, not legal advice, and completing it does not make an organisation compliant with any law or standard. Every row that cites a duty links to the record it came from; check the official source before relying on it.</w:t>
      </w:r>
    </w:p>
    <w:p>
      <w:pPr>
        <w:pStyle w:val="Small"/>
      </w:pPr>
      <w:r>
        <w:rPr>
          <w:color w:val="5D6B7E"/>
          <w:sz w:val="18"/>
          <w:szCs w:val="18"/>
        </w:rPr>
        <w:t xml:space="preserve">Placeholders are shown as [PLACEHOLDER: …] in amber. Replace every one before the document is used; a search for "[PLACEHOLDER" finds any that remain.</w:t>
      </w:r>
    </w:p>
    <w:p>
      <w:pPr/>
      <w:r>
        <w:rPr>
          <w:b w:val="1"/>
          <w:bCs w:val="1"/>
        </w:rPr>
        <w:t xml:space="preserve">Contents</w:t>
      </w:r>
    </w:p>
    <w:p>
      <w:pPr>
        <w:tabs>
          <w:tab w:val="right" w:leader="dot" w:pos="9062"/>
        </w:tabs>
      </w:pPr>
      <w:r>
        <w:fldChar w:fldCharType="begin"/>
      </w:r>
      <w:r>
        <w:instrText xml:space="preserve">TOC \o 1-2 \h \z \u</w:instrText>
      </w:r>
      <w:r>
        <w:fldChar w:fldCharType="separate"/>
      </w:r>
      <w:hyperlink w:anchor="_Toc1" w:history="1">
        <w:r>
          <w:rPr>
            <w:sz w:val="20"/>
            <w:szCs w:val="20"/>
          </w:rPr>
          <w:t>1. Purpose and scope</w:t>
        </w:r>
        <w:r>
          <w:tab/>
        </w:r>
        <w:r>
          <w:fldChar w:fldCharType="begin"/>
        </w:r>
        <w:r>
          <w:instrText xml:space="preserve">PAGEREF 1 \h</w:instrText>
        </w:r>
        <w:r>
          <w:fldChar w:fldCharType="end"/>
        </w:r>
      </w:hyperlink>
    </w:p>
    <w:p>
      <w:pPr>
        <w:tabs>
          <w:tab w:val="right" w:leader="dot" w:pos="9062"/>
        </w:tabs>
      </w:pPr>
      <w:hyperlink w:anchor="_Toc2" w:history="1">
        <w:r>
          <w:rPr>
            <w:sz w:val="20"/>
            <w:szCs w:val="20"/>
          </w:rPr>
          <w:t>2. Definitions</w:t>
        </w:r>
        <w:r>
          <w:tab/>
        </w:r>
        <w:r>
          <w:fldChar w:fldCharType="begin"/>
        </w:r>
        <w:r>
          <w:instrText xml:space="preserve">PAGEREF 2 \h</w:instrText>
        </w:r>
        <w:r>
          <w:fldChar w:fldCharType="end"/>
        </w:r>
      </w:hyperlink>
    </w:p>
    <w:p>
      <w:pPr>
        <w:tabs>
          <w:tab w:val="right" w:leader="dot" w:pos="9062"/>
        </w:tabs>
      </w:pPr>
      <w:hyperlink w:anchor="_Toc3" w:history="1">
        <w:r>
          <w:rPr>
            <w:sz w:val="20"/>
            <w:szCs w:val="20"/>
          </w:rPr>
          <w:t>3. Permitted uses</w:t>
        </w:r>
        <w:r>
          <w:tab/>
        </w:r>
        <w:r>
          <w:fldChar w:fldCharType="begin"/>
        </w:r>
        <w:r>
          <w:instrText xml:space="preserve">PAGEREF 3 \h</w:instrText>
        </w:r>
        <w:r>
          <w:fldChar w:fldCharType="end"/>
        </w:r>
      </w:hyperlink>
    </w:p>
    <w:p>
      <w:pPr>
        <w:tabs>
          <w:tab w:val="right" w:leader="dot" w:pos="9062"/>
        </w:tabs>
      </w:pPr>
      <w:hyperlink w:anchor="_Toc4" w:history="1">
        <w:r>
          <w:rPr>
            <w:sz w:val="20"/>
            <w:szCs w:val="20"/>
          </w:rPr>
          <w:t>4. Prohibited uses</w:t>
        </w:r>
        <w:r>
          <w:tab/>
        </w:r>
        <w:r>
          <w:fldChar w:fldCharType="begin"/>
        </w:r>
        <w:r>
          <w:instrText xml:space="preserve">PAGEREF 4 \h</w:instrText>
        </w:r>
        <w:r>
          <w:fldChar w:fldCharType="end"/>
        </w:r>
      </w:hyperlink>
    </w:p>
    <w:p>
      <w:pPr>
        <w:tabs>
          <w:tab w:val="right" w:leader="dot" w:pos="9062"/>
        </w:tabs>
      </w:pPr>
      <w:hyperlink w:anchor="_Toc5" w:history="1">
        <w:r>
          <w:rPr>
            <w:sz w:val="20"/>
            <w:szCs w:val="20"/>
          </w:rPr>
          <w:t>5. Data and confidentiality</w:t>
        </w:r>
        <w:r>
          <w:tab/>
        </w:r>
        <w:r>
          <w:fldChar w:fldCharType="begin"/>
        </w:r>
        <w:r>
          <w:instrText xml:space="preserve">PAGEREF 5 \h</w:instrText>
        </w:r>
        <w:r>
          <w:fldChar w:fldCharType="end"/>
        </w:r>
      </w:hyperlink>
    </w:p>
    <w:p>
      <w:pPr>
        <w:tabs>
          <w:tab w:val="right" w:leader="dot" w:pos="9062"/>
        </w:tabs>
      </w:pPr>
      <w:hyperlink w:anchor="_Toc6" w:history="1">
        <w:r>
          <w:rPr>
            <w:sz w:val="20"/>
            <w:szCs w:val="20"/>
          </w:rPr>
          <w:t>6. Disclosure</w:t>
        </w:r>
        <w:r>
          <w:tab/>
        </w:r>
        <w:r>
          <w:fldChar w:fldCharType="begin"/>
        </w:r>
        <w:r>
          <w:instrText xml:space="preserve">PAGEREF 6 \h</w:instrText>
        </w:r>
        <w:r>
          <w:fldChar w:fldCharType="end"/>
        </w:r>
      </w:hyperlink>
    </w:p>
    <w:p>
      <w:pPr>
        <w:tabs>
          <w:tab w:val="right" w:leader="dot" w:pos="9062"/>
        </w:tabs>
      </w:pPr>
      <w:hyperlink w:anchor="_Toc7" w:history="1">
        <w:r>
          <w:rPr>
            <w:sz w:val="20"/>
            <w:szCs w:val="20"/>
          </w:rPr>
          <w:t>7. Competence and training</w:t>
        </w:r>
        <w:r>
          <w:tab/>
        </w:r>
        <w:r>
          <w:fldChar w:fldCharType="begin"/>
        </w:r>
        <w:r>
          <w:instrText xml:space="preserve">PAGEREF 7 \h</w:instrText>
        </w:r>
        <w:r>
          <w:fldChar w:fldCharType="end"/>
        </w:r>
      </w:hyperlink>
    </w:p>
    <w:p>
      <w:pPr>
        <w:tabs>
          <w:tab w:val="right" w:leader="dot" w:pos="9062"/>
        </w:tabs>
      </w:pPr>
      <w:hyperlink w:anchor="_Toc8" w:history="1">
        <w:r>
          <w:rPr>
            <w:sz w:val="20"/>
            <w:szCs w:val="20"/>
          </w:rPr>
          <w:t>8. Reporting and enforcement</w:t>
        </w:r>
        <w:r>
          <w:tab/>
        </w:r>
        <w:r>
          <w:fldChar w:fldCharType="begin"/>
        </w:r>
        <w:r>
          <w:instrText xml:space="preserve">PAGEREF 8 \h</w:instrText>
        </w:r>
        <w:r>
          <w:fldChar w:fldCharType="end"/>
        </w:r>
      </w:hyperlink>
    </w:p>
    <w:p>
      <w:pPr>
        <w:tabs>
          <w:tab w:val="right" w:leader="dot" w:pos="9062"/>
        </w:tabs>
      </w:pPr>
      <w:hyperlink w:anchor="_Toc9" w:history="1">
        <w:r>
          <w:rPr>
            <w:sz w:val="20"/>
            <w:szCs w:val="20"/>
          </w:rPr>
          <w:t>9. Review</w:t>
        </w:r>
        <w:r>
          <w:tab/>
        </w:r>
        <w:r>
          <w:fldChar w:fldCharType="begin"/>
        </w:r>
        <w:r>
          <w:instrText xml:space="preserve">PAGEREF 9 \h</w:instrText>
        </w:r>
        <w:r>
          <w:fldChar w:fldCharType="end"/>
        </w:r>
      </w:hyperlink>
    </w:p>
    <w:p>
      <w:pPr>
        <w:tabs>
          <w:tab w:val="right" w:leader="dot" w:pos="9062"/>
        </w:tabs>
      </w:pPr>
      <w:hyperlink w:anchor="_Toc10" w:history="1">
        <w:r>
          <w:rPr>
            <w:sz w:val="20"/>
            <w:szCs w:val="20"/>
          </w:rPr>
          <w:t>Duties this policy serves</w:t>
        </w:r>
        <w:r>
          <w:tab/>
        </w:r>
        <w:r>
          <w:fldChar w:fldCharType="begin"/>
        </w:r>
        <w:r>
          <w:instrText xml:space="preserve">PAGEREF 10 \h</w:instrText>
        </w:r>
        <w:r>
          <w:fldChar w:fldCharType="end"/>
        </w:r>
      </w:hyperlink>
    </w:p>
    <w:p>
      <w:pPr>
        <w:tabs>
          <w:tab w:val="right" w:leader="dot" w:pos="9062"/>
        </w:tabs>
        <w:ind w:left="200"/>
      </w:pPr>
      <w:hyperlink w:anchor="_Toc11" w:history="1">
        <w:r>
          <w:rPr>
            <w:sz w:val="20"/>
            <w:szCs w:val="20"/>
          </w:rPr>
          <w:t>Do not deploy or provide AI for prohibited practices</w:t>
        </w:r>
        <w:r>
          <w:tab/>
        </w:r>
        <w:r>
          <w:fldChar w:fldCharType="begin"/>
        </w:r>
        <w:r>
          <w:instrText xml:space="preserve">PAGEREF 11 \h</w:instrText>
        </w:r>
        <w:r>
          <w:fldChar w:fldCharType="end"/>
        </w:r>
      </w:hyperlink>
    </w:p>
    <w:p>
      <w:pPr>
        <w:tabs>
          <w:tab w:val="right" w:leader="dot" w:pos="9062"/>
        </w:tabs>
        <w:ind w:left="200"/>
      </w:pPr>
      <w:hyperlink w:anchor="_Toc12" w:history="1">
        <w:r>
          <w:rPr>
            <w:sz w:val="20"/>
            <w:szCs w:val="20"/>
          </w:rPr>
          <w:t>Developers and deployers must not use AI to incite self-harm, harm to others or crime</w:t>
        </w:r>
        <w:r>
          <w:tab/>
        </w:r>
        <w:r>
          <w:fldChar w:fldCharType="begin"/>
        </w:r>
        <w:r>
          <w:instrText xml:space="preserve">PAGEREF 12 \h</w:instrText>
        </w:r>
        <w:r>
          <w:fldChar w:fldCharType="end"/>
        </w:r>
      </w:hyperlink>
    </w:p>
    <w:p>
      <w:pPr>
        <w:tabs>
          <w:tab w:val="right" w:leader="dot" w:pos="9062"/>
        </w:tabs>
        <w:ind w:left="200"/>
      </w:pPr>
      <w:hyperlink w:anchor="_Toc13" w:history="1">
        <w:r>
          <w:rPr>
            <w:sz w:val="20"/>
            <w:szCs w:val="20"/>
          </w:rPr>
          <w:t>Governmental entities must not use AI for social scoring</w:t>
        </w:r>
        <w:r>
          <w:tab/>
        </w:r>
        <w:r>
          <w:fldChar w:fldCharType="begin"/>
        </w:r>
        <w:r>
          <w:instrText xml:space="preserve">PAGEREF 13 \h</w:instrText>
        </w:r>
        <w:r>
          <w:fldChar w:fldCharType="end"/>
        </w:r>
      </w:hyperlink>
    </w:p>
    <w:p>
      <w:pPr>
        <w:tabs>
          <w:tab w:val="right" w:leader="dot" w:pos="9062"/>
        </w:tabs>
        <w:ind w:left="200"/>
      </w:pPr>
      <w:hyperlink w:anchor="_Toc14" w:history="1">
        <w:r>
          <w:rPr>
            <w:sz w:val="20"/>
            <w:szCs w:val="20"/>
          </w:rPr>
          <w:t>Governmental entities must not use AI for biometric identification from public data without consent where it infringes rights</w:t>
        </w:r>
        <w:r>
          <w:tab/>
        </w:r>
        <w:r>
          <w:fldChar w:fldCharType="begin"/>
        </w:r>
        <w:r>
          <w:instrText xml:space="preserve">PAGEREF 14 \h</w:instrText>
        </w:r>
        <w:r>
          <w:fldChar w:fldCharType="end"/>
        </w:r>
      </w:hyperlink>
    </w:p>
    <w:p>
      <w:pPr>
        <w:tabs>
          <w:tab w:val="right" w:leader="dot" w:pos="9062"/>
        </w:tabs>
        <w:ind w:left="200"/>
      </w:pPr>
      <w:hyperlink w:anchor="_Toc15" w:history="1">
        <w:r>
          <w:rPr>
            <w:sz w:val="20"/>
            <w:szCs w:val="20"/>
          </w:rPr>
          <w:t>Developers and deployers must not use AI with the intent to unlawfully discriminate against a protected class</w:t>
        </w:r>
        <w:r>
          <w:tab/>
        </w:r>
        <w:r>
          <w:fldChar w:fldCharType="begin"/>
        </w:r>
        <w:r>
          <w:instrText xml:space="preserve">PAGEREF 15 \h</w:instrText>
        </w:r>
        <w:r>
          <w:fldChar w:fldCharType="end"/>
        </w:r>
      </w:hyperlink>
    </w:p>
    <w:p>
      <w:pPr>
        <w:tabs>
          <w:tab w:val="right" w:leader="dot" w:pos="9062"/>
        </w:tabs>
        <w:ind w:left="200"/>
      </w:pPr>
      <w:hyperlink w:anchor="_Toc16" w:history="1">
        <w:r>
          <w:rPr>
            <w:sz w:val="20"/>
            <w:szCs w:val="20"/>
          </w:rPr>
          <w:t>Developers and distributors must not build AI intended to produce child sexual abuse material or unlawful sexual deepfakes</w:t>
        </w:r>
        <w:r>
          <w:tab/>
        </w:r>
        <w:r>
          <w:fldChar w:fldCharType="begin"/>
        </w:r>
        <w:r>
          <w:instrText xml:space="preserve">PAGEREF 16 \h</w:instrText>
        </w:r>
        <w:r>
          <w:fldChar w:fldCharType="end"/>
        </w:r>
      </w:hyperlink>
    </w:p>
    <w:p>
      <w:r>
        <w:fldChar w:fldCharType="end"/>
      </w:r>
    </w:p>
    <w:p>
      <w:r>
        <w:br w:type="page"/>
      </w:r>
    </w:p>
    <w:p>
      <w:pPr>
        <w:pStyle w:val="Heading1"/>
      </w:pPr>
      <w:bookmarkStart w:id="0" w:name="_Toc1"/>
      <w:r>
        <w:t>1. Purpose and scope</w:t>
      </w:r>
      <w:bookmarkEnd w:id="0"/>
    </w:p>
    <w:p>
      <w:pPr>
        <w:pStyle w:val="Body"/>
      </w:pPr>
      <w:r>
        <w:rPr/>
        <w:t xml:space="preserve">This policy sets out how people in the organisation may use AI tools, what they may not do, and what they must disclose. It applies to every use of an AI system in the course of work, whether the system is built, bought or free.</w:t>
      </w:r>
    </w:p>
    <w:p>
      <w:pPr>
        <w:pStyle w:val="Body"/>
      </w:pPr>
      <w:r>
        <w:rPr>
          <w:color w:val="B45309"/>
          <w:b w:val="1"/>
          <w:bCs w:val="1"/>
        </w:rPr>
        <w:t xml:space="preserve">[PLACEHOLDER: Organisation name, the units and contractors covered, and the date this policy takes effect]</w:t>
      </w:r>
    </w:p>
    <w:p>
      <w:pPr>
        <w:pStyle w:val="Heading1"/>
      </w:pPr>
      <w:bookmarkStart w:id="1" w:name="_Toc2"/>
      <w:r>
        <w:t>2. Definitions</w:t>
      </w:r>
      <w:bookmarkEnd w:id="1"/>
    </w:p>
    <w:p>
      <w:pPr>
        <w:pStyle w:val="Body"/>
        <w:numPr>
          <w:ilvl w:val="0"/>
          <w:numId w:val="8"/>
        </w:numPr>
      </w:pPr>
      <w:r>
        <w:rPr/>
        <w:t xml:space="preserve">AI system: software that, for a given objective, produces outputs such as predictions, content, recommendations or decisions.</w:t>
      </w:r>
    </w:p>
    <w:p>
      <w:pPr>
        <w:pStyle w:val="Body"/>
        <w:numPr>
          <w:ilvl w:val="0"/>
          <w:numId w:val="8"/>
        </w:numPr>
      </w:pPr>
      <w:r>
        <w:rPr/>
        <w:t xml:space="preserve">Approved tool: an AI system listed in the AI system inventory with an owner and a completed review.</w:t>
      </w:r>
    </w:p>
    <w:p>
      <w:pPr>
        <w:pStyle w:val="Body"/>
        <w:numPr>
          <w:ilvl w:val="0"/>
          <w:numId w:val="8"/>
        </w:numPr>
      </w:pPr>
      <w:r>
        <w:rPr/>
        <w:t xml:space="preserve">Personal data and confidential information: as defined in the data protection and information security policies.</w:t>
      </w:r>
    </w:p>
    <w:p>
      <w:pPr>
        <w:pStyle w:val="Heading1"/>
      </w:pPr>
      <w:bookmarkStart w:id="2" w:name="_Toc3"/>
      <w:r>
        <w:t>3. Permitted uses</w:t>
      </w:r>
      <w:bookmarkEnd w:id="2"/>
    </w:p>
    <w:p>
      <w:pPr>
        <w:pStyle w:val="Body"/>
      </w:pPr>
      <w:r>
        <w:rPr>
          <w:color w:val="B45309"/>
          <w:b w:val="1"/>
          <w:bCs w:val="1"/>
        </w:rPr>
        <w:t xml:space="preserve">[PLACEHOLDER: The tools and uses approved, by role or unit, with reference to the inventory]</w:t>
      </w:r>
    </w:p>
    <w:p>
      <w:pPr>
        <w:pStyle w:val="Heading1"/>
      </w:pPr>
      <w:bookmarkStart w:id="3" w:name="_Toc4"/>
      <w:r>
        <w:t>4. Prohibited uses</w:t>
      </w:r>
      <w:bookmarkEnd w:id="3"/>
    </w:p>
    <w:p>
      <w:pPr>
        <w:pStyle w:val="Body"/>
      </w:pPr>
      <w:r>
        <w:rPr/>
        <w:t xml:space="preserve">The following are prohibited outright. The first group are practices the law prohibits, each cited to the duty on record; the second are the organisation's own rules.</w:t>
      </w:r>
    </w:p>
    <w:p>
      <w:pPr>
        <w:pStyle w:val="Body"/>
        <w:numPr>
          <w:ilvl w:val="0"/>
          <w:numId w:val="8"/>
        </w:numPr>
      </w:pPr>
      <w:r>
        <w:rPr/>
        <w:t xml:space="preserve">Do not deploy or provide AI for prohibited practices (EU AI Act, Article 5)</w:t>
      </w:r>
    </w:p>
    <w:p>
      <w:pPr>
        <w:pStyle w:val="Body"/>
        <w:numPr>
          <w:ilvl w:val="0"/>
          <w:numId w:val="8"/>
        </w:numPr>
      </w:pPr>
      <w:r>
        <w:rPr/>
        <w:t xml:space="preserve">Developers and deployers must not use AI to incite self-harm, harm to others or crime (Texas Responsible AI Governance Act (TRAIGA), Business and Commerce Code Section 551.052)</w:t>
      </w:r>
    </w:p>
    <w:p>
      <w:pPr>
        <w:pStyle w:val="Body"/>
        <w:numPr>
          <w:ilvl w:val="0"/>
          <w:numId w:val="8"/>
        </w:numPr>
      </w:pPr>
      <w:r>
        <w:rPr/>
        <w:t xml:space="preserve">Governmental entities must not use AI for social scoring (Texas Responsible AI Governance Act (TRAIGA), Business and Commerce Code Section 551.053)</w:t>
      </w:r>
    </w:p>
    <w:p>
      <w:pPr>
        <w:pStyle w:val="Body"/>
        <w:numPr>
          <w:ilvl w:val="0"/>
          <w:numId w:val="8"/>
        </w:numPr>
      </w:pPr>
      <w:r>
        <w:rPr/>
        <w:t xml:space="preserve">Governmental entities must not use AI for biometric identification from public data without consent where it infringes rights (Texas Responsible AI Governance Act (TRAIGA), Business and Commerce Code Section 551.054)</w:t>
      </w:r>
    </w:p>
    <w:p>
      <w:pPr>
        <w:pStyle w:val="Body"/>
        <w:numPr>
          <w:ilvl w:val="0"/>
          <w:numId w:val="8"/>
        </w:numPr>
      </w:pPr>
      <w:r>
        <w:rPr/>
        <w:t xml:space="preserve">Developers and deployers must not use AI with the intent to unlawfully discriminate against a protected class (Texas Responsible AI Governance Act (TRAIGA), Business and Commerce Code Section 551.056)</w:t>
      </w:r>
    </w:p>
    <w:p>
      <w:pPr>
        <w:pStyle w:val="Body"/>
        <w:numPr>
          <w:ilvl w:val="0"/>
          <w:numId w:val="8"/>
        </w:numPr>
      </w:pPr>
      <w:r>
        <w:rPr/>
        <w:t xml:space="preserve">Developers and distributors must not build AI intended to produce child sexual abuse material or unlawful sexual deepfakes (Texas Responsible AI Governance Act (TRAIGA), Business and Commerce Code Section 551.057)</w:t>
      </w:r>
    </w:p>
    <w:p>
      <w:pPr>
        <w:pStyle w:val="Body"/>
      </w:pPr>
      <w:r>
        <w:rPr>
          <w:color w:val="B45309"/>
          <w:b w:val="1"/>
          <w:bCs w:val="1"/>
        </w:rPr>
        <w:t xml:space="preserve">[PLACEHOLDER: Organisation-specific prohibitions: e.g. entering confidential or personal data into unapproved tools; presenting AI output as human work where disclosure is required; automating a decision about a person without approval]</w:t>
      </w:r>
    </w:p>
    <w:p>
      <w:pPr>
        <w:pStyle w:val="Heading1"/>
      </w:pPr>
      <w:bookmarkStart w:id="4" w:name="_Toc5"/>
      <w:r>
        <w:t>5. Data and confidentiality</w:t>
      </w:r>
      <w:bookmarkEnd w:id="4"/>
    </w:p>
    <w:p>
      <w:pPr>
        <w:pStyle w:val="Body"/>
      </w:pPr>
      <w:r>
        <w:rPr>
          <w:color w:val="B45309"/>
          <w:b w:val="1"/>
          <w:bCs w:val="1"/>
        </w:rPr>
        <w:t xml:space="preserve">[PLACEHOLDER: What data may be entered into which tools; retention; where outputs are stored]</w:t>
      </w:r>
    </w:p>
    <w:p>
      <w:pPr>
        <w:pStyle w:val="Heading1"/>
      </w:pPr>
      <w:bookmarkStart w:id="5" w:name="_Toc6"/>
      <w:r>
        <w:t>6. Disclosure</w:t>
      </w:r>
      <w:bookmarkEnd w:id="5"/>
    </w:p>
    <w:p>
      <w:pPr>
        <w:pStyle w:val="Body"/>
      </w:pPr>
      <w:r>
        <w:rPr>
          <w:color w:val="B45309"/>
          <w:b w:val="1"/>
          <w:bCs w:val="1"/>
        </w:rPr>
        <w:t xml:space="preserve">[PLACEHOLDER: When AI-generated or AI-assisted content must be labelled, internally and externally, and how]</w:t>
      </w:r>
    </w:p>
    <w:p>
      <w:pPr>
        <w:pStyle w:val="Heading1"/>
      </w:pPr>
      <w:bookmarkStart w:id="6" w:name="_Toc7"/>
      <w:r>
        <w:t>7. Competence and training</w:t>
      </w:r>
      <w:bookmarkEnd w:id="6"/>
    </w:p>
    <w:p>
      <w:pPr>
        <w:pStyle w:val="Body"/>
      </w:pPr>
      <w:r>
        <w:rPr/>
        <w:t xml:space="preserve">The organisation is required to ensure a sufficient level of AI literacy among the staff who operate or use AI systems: Ensure AI literacy of staff operating AI systems — EU AI Act, Article 4 (European Union).</w:t>
      </w:r>
    </w:p>
    <w:p>
      <w:pPr>
        <w:pStyle w:val="Body"/>
      </w:pPr>
      <w:r>
        <w:rPr>
          <w:color w:val="B45309"/>
          <w:b w:val="1"/>
          <w:bCs w:val="1"/>
        </w:rPr>
        <w:t xml:space="preserve">[PLACEHOLDER: Training required before use, by role, and how completion is recorded]</w:t>
      </w:r>
    </w:p>
    <w:p>
      <w:pPr>
        <w:pStyle w:val="Heading1"/>
      </w:pPr>
      <w:bookmarkStart w:id="7" w:name="_Toc8"/>
      <w:r>
        <w:t>8. Reporting and enforcement</w:t>
      </w:r>
      <w:bookmarkEnd w:id="7"/>
    </w:p>
    <w:p>
      <w:pPr>
        <w:pStyle w:val="Body"/>
      </w:pPr>
      <w:r>
        <w:rPr>
          <w:color w:val="B45309"/>
          <w:b w:val="1"/>
          <w:bCs w:val="1"/>
        </w:rPr>
        <w:t xml:space="preserve">[PLACEHOLDER: How to report a concern or an incident, who investigates, and the consequences of breach]</w:t>
      </w:r>
    </w:p>
    <w:p>
      <w:pPr>
        <w:pStyle w:val="Heading1"/>
      </w:pPr>
      <w:bookmarkStart w:id="8" w:name="_Toc9"/>
      <w:r>
        <w:t>9. Review</w:t>
      </w:r>
      <w:bookmarkEnd w:id="8"/>
    </w:p>
    <w:p>
      <w:pPr>
        <w:pStyle w:val="Body"/>
      </w:pPr>
      <w:r>
        <w:rPr>
          <w:color w:val="B45309"/>
          <w:b w:val="1"/>
          <w:bCs w:val="1"/>
        </w:rPr>
        <w:t xml:space="preserve">[PLACEHOLDER: Owner of this policy, review cycle, and the version history]</w:t>
      </w:r>
    </w:p>
    <w:p>
      <w:pPr>
        <w:pStyle w:val="Heading1"/>
      </w:pPr>
      <w:bookmarkStart w:id="9" w:name="_Toc10"/>
      <w:r>
        <w:t>Duties this policy serves</w:t>
      </w:r>
      <w:bookmarkEnd w:id="9"/>
    </w:p>
    <w:p>
      <w:pPr>
        <w:pStyle w:val="Heading2"/>
      </w:pPr>
      <w:bookmarkStart w:id="10" w:name="_Toc11"/>
      <w:r>
        <w:t>Do not deploy or provide AI for prohibited practices</w:t>
      </w:r>
      <w:bookmarkEnd w:id="10"/>
    </w:p>
    <w:p>
      <w:pPr>
        <w:pStyle w:val="Body"/>
      </w:pPr>
      <w:r>
        <w:rPr/>
        <w:t xml:space="preserve">Article 5 bans placing on the market, putting into service or using AI for listed practices, including subliminal or manipulative techniques that cause significant harm, exploitation of vulnerabilities, social scoring by public or private actors leading to detrimental treatment, untargeted scraping of facial images to build recognition databases, emotion recognition in workplaces and education institutions except for medical or safety reasons, biometric categorisation to infer protected characteristics, and real-time remote biometric identification in publicly accessible spaces for law enforcement outside narrow exceptions.</w:t>
      </w:r>
    </w:p>
    <w:p>
      <w:pPr>
        <w:pStyle w:val="Body"/>
      </w:pPr>
      <w:r>
        <w:rPr/>
        <w:t xml:space="preserve">In practice: Add a prohibited-practice screen to your AI intake or design-review process and document the outcome for every system already in use.</w:t>
      </w:r>
    </w:p>
    <w:p>
      <w:pPr>
        <w:pStyle w:val="Small"/>
      </w:pPr>
      <w:r>
        <w:rPr>
          <w:color w:val="5D6B7E"/>
          <w:sz w:val="18"/>
          <w:szCs w:val="18"/>
          <w:i w:val="1"/>
          <w:iCs w:val="1"/>
        </w:rPr>
        <w:t xml:space="preserve">Evidence a reviewer would expect: Prohibited-practice screening record; AI system inventory.</w:t>
      </w:r>
    </w:p>
    <w:p>
      <w:pPr>
        <w:pStyle w:val="Body"/>
      </w:pPr>
      <w:r>
        <w:rPr>
          <w:color w:val="B45309"/>
          <w:b w:val="1"/>
          <w:bCs w:val="1"/>
        </w:rPr>
        <w:t xml:space="preserve">[PLACEHOLDER: How this policy prevents the practice]</w:t>
      </w:r>
    </w:p>
    <w:p>
      <w:pPr>
        <w:pStyle w:val="Small"/>
      </w:pPr>
      <w:r>
        <w:rPr>
          <w:color w:val="5D6B7E"/>
          <w:sz w:val="18"/>
          <w:szCs w:val="18"/>
        </w:rPr>
        <w:t xml:space="preserve">Source: </w:t>
      </w:r>
      <w:hyperlink r:id="rId8" w:history="1">
        <w:r>
          <w:rPr>
            <w:color w:val="006AAC"/>
            <w:sz w:val="18"/>
            <w:szCs w:val="18"/>
            <w:u w:val="single"/>
          </w:rPr>
          <w:t xml:space="preserve">Do not deploy or provide AI for prohibited practices — EU AI Act, Article 5 (European Union)</w:t>
        </w:r>
      </w:hyperlink>
    </w:p>
    <w:p>
      <w:pPr>
        <w:pStyle w:val="Heading2"/>
      </w:pPr>
      <w:bookmarkStart w:id="11" w:name="_Toc12"/>
      <w:r>
        <w:t>Developers and deployers must not use AI to incite self-harm, harm to others or crime</w:t>
      </w:r>
      <w:bookmarkEnd w:id="11"/>
    </w:p>
    <w:p>
      <w:pPr>
        <w:pStyle w:val="Body"/>
      </w:pPr>
      <w:r>
        <w:rPr/>
        <w:t xml:space="preserve">A person may not develop or deploy an AI system in a manner that intentionally aims to incite or encourage a person to commit physical self-harm, including suicide, to harm another person, or to engage in criminal activity. The prohibition turns on the developer's or deployer's intent rather than on the system's effects, which is the pattern followed throughout the Act's prohibited-use provisions.</w:t>
      </w:r>
    </w:p>
    <w:p>
      <w:pPr>
        <w:pStyle w:val="Body"/>
      </w:pPr>
      <w:r>
        <w:rPr/>
        <w:t xml:space="preserve">In practice: Record the intended purpose of each system at design review and add safety testing for self-harm and violence content in conversational products.</w:t>
      </w:r>
    </w:p>
    <w:p>
      <w:pPr>
        <w:pStyle w:val="Small"/>
      </w:pPr>
      <w:r>
        <w:rPr>
          <w:color w:val="5D6B7E"/>
          <w:sz w:val="18"/>
          <w:szCs w:val="18"/>
          <w:i w:val="1"/>
          <w:iCs w:val="1"/>
        </w:rPr>
        <w:t xml:space="preserve">Evidence a reviewer would expect: Intended-purpose statement and prohibited-use screening record; Safety evaluation for self-harm and violence content.</w:t>
      </w:r>
    </w:p>
    <w:p>
      <w:pPr>
        <w:pStyle w:val="Body"/>
      </w:pPr>
      <w:r>
        <w:rPr>
          <w:color w:val="B45309"/>
          <w:b w:val="1"/>
          <w:bCs w:val="1"/>
        </w:rPr>
        <w:t xml:space="preserve">[PLACEHOLDER: How this policy prevents the practice]</w:t>
      </w:r>
    </w:p>
    <w:p>
      <w:pPr>
        <w:pStyle w:val="Small"/>
      </w:pPr>
      <w:r>
        <w:rPr>
          <w:color w:val="5D6B7E"/>
          <w:sz w:val="18"/>
          <w:szCs w:val="18"/>
        </w:rPr>
        <w:t xml:space="preserve">Source: </w:t>
      </w:r>
      <w:hyperlink r:id="rId9" w:history="1">
        <w:r>
          <w:rPr>
            <w:color w:val="006AAC"/>
            <w:sz w:val="18"/>
            <w:szCs w:val="18"/>
            <w:u w:val="single"/>
          </w:rPr>
          <w:t xml:space="preserve">Developers and deployers must not use AI to incite self-harm, harm to others or crime — Texas Responsible AI Governance Act (TRAIGA), Business and Commerce Code Section 551.052 (Texas (United States))</w:t>
        </w:r>
      </w:hyperlink>
    </w:p>
    <w:p>
      <w:pPr>
        <w:pStyle w:val="Heading2"/>
      </w:pPr>
      <w:bookmarkStart w:id="12" w:name="_Toc13"/>
      <w:r>
        <w:t>Governmental entities must not use AI for social scoring</w:t>
      </w:r>
      <w:bookmarkEnd w:id="12"/>
    </w:p>
    <w:p>
      <w:pPr>
        <w:pStyle w:val="Body"/>
      </w:pPr>
      <w:r>
        <w:rPr/>
        <w:t xml:space="preserve">A governmental entity may not develop or deploy an AI system that evaluates or classifies natural persons or groups on the basis of their social behaviour or personal characteristics, with the intent to calculate or assign a social score or similar valuation that leads to detrimental or unfavourable treatment unrelated to the context in which the data was collected, or that is unjustified or disproportionate to the behaviour.</w:t>
      </w:r>
    </w:p>
    <w:p>
      <w:pPr>
        <w:pStyle w:val="Body"/>
      </w:pPr>
      <w:r>
        <w:rPr/>
        <w:t xml:space="preserve">In practice: Screen agency scoring, eligibility and risk-ranking tools for social-scoring characteristics before procurement or build.</w:t>
      </w:r>
    </w:p>
    <w:p>
      <w:pPr>
        <w:pStyle w:val="Small"/>
      </w:pPr>
      <w:r>
        <w:rPr>
          <w:color w:val="5D6B7E"/>
          <w:sz w:val="18"/>
          <w:szCs w:val="18"/>
          <w:i w:val="1"/>
          <w:iCs w:val="1"/>
        </w:rPr>
        <w:t xml:space="preserve">Evidence a reviewer would expect: Prohibited-use screening record for scoring tools.</w:t>
      </w:r>
    </w:p>
    <w:p>
      <w:pPr>
        <w:pStyle w:val="Body"/>
      </w:pPr>
      <w:r>
        <w:rPr>
          <w:color w:val="B45309"/>
          <w:b w:val="1"/>
          <w:bCs w:val="1"/>
        </w:rPr>
        <w:t xml:space="preserve">[PLACEHOLDER: How this policy prevents the practice]</w:t>
      </w:r>
    </w:p>
    <w:p>
      <w:pPr>
        <w:pStyle w:val="Small"/>
      </w:pPr>
      <w:r>
        <w:rPr>
          <w:color w:val="5D6B7E"/>
          <w:sz w:val="18"/>
          <w:szCs w:val="18"/>
        </w:rPr>
        <w:t xml:space="preserve">Source: </w:t>
      </w:r>
      <w:hyperlink r:id="rId10" w:history="1">
        <w:r>
          <w:rPr>
            <w:color w:val="006AAC"/>
            <w:sz w:val="18"/>
            <w:szCs w:val="18"/>
            <w:u w:val="single"/>
          </w:rPr>
          <w:t xml:space="preserve">Governmental entities must not use AI for social scoring — Texas Responsible AI Governance Act (TRAIGA), Business and Commerce Code Section 551.053 (Texas (United States))</w:t>
        </w:r>
      </w:hyperlink>
    </w:p>
    <w:p>
      <w:pPr>
        <w:pStyle w:val="Heading2"/>
      </w:pPr>
      <w:bookmarkStart w:id="13" w:name="_Toc14"/>
      <w:r>
        <w:t>Governmental entities must not use AI for biometric identification from public data without consent where it infringes rights</w:t>
      </w:r>
      <w:bookmarkEnd w:id="13"/>
    </w:p>
    <w:p>
      <w:pPr>
        <w:pStyle w:val="Body"/>
      </w:pPr>
      <w:r>
        <w:rPr/>
        <w:t xml:space="preserve">A governmental entity may not develop or deploy an AI system for the purpose of uniquely identifying a specific individual using biometric data, or of gathering images or other media from the internet or another public source without the individual's consent, where doing so would infringe a right guaranteed under the United States or Texas constitutions or violate state or federal law. The Act preserves lawful uses that comply with existing biometric-privacy law.</w:t>
      </w:r>
    </w:p>
    <w:p>
      <w:pPr>
        <w:pStyle w:val="Body"/>
      </w:pPr>
      <w:r>
        <w:rPr/>
        <w:t xml:space="preserve">In practice: Require legal sign-off on lawful basis and constitutional review before any agency biometric-matching or public-image scraping project.</w:t>
      </w:r>
    </w:p>
    <w:p>
      <w:pPr>
        <w:pStyle w:val="Small"/>
      </w:pPr>
      <w:r>
        <w:rPr>
          <w:color w:val="5D6B7E"/>
          <w:sz w:val="18"/>
          <w:szCs w:val="18"/>
          <w:i w:val="1"/>
          <w:iCs w:val="1"/>
        </w:rPr>
        <w:t xml:space="preserve">Evidence a reviewer would expect: Legal review of biometric AI use.</w:t>
      </w:r>
    </w:p>
    <w:p>
      <w:pPr>
        <w:pStyle w:val="Body"/>
      </w:pPr>
      <w:r>
        <w:rPr>
          <w:color w:val="B45309"/>
          <w:b w:val="1"/>
          <w:bCs w:val="1"/>
        </w:rPr>
        <w:t xml:space="preserve">[PLACEHOLDER: How this policy prevents the practice]</w:t>
      </w:r>
    </w:p>
    <w:p>
      <w:pPr>
        <w:pStyle w:val="Small"/>
      </w:pPr>
      <w:r>
        <w:rPr>
          <w:color w:val="5D6B7E"/>
          <w:sz w:val="18"/>
          <w:szCs w:val="18"/>
        </w:rPr>
        <w:t xml:space="preserve">Source: </w:t>
      </w:r>
      <w:hyperlink r:id="rId11" w:history="1">
        <w:r>
          <w:rPr>
            <w:color w:val="006AAC"/>
            <w:sz w:val="18"/>
            <w:szCs w:val="18"/>
            <w:u w:val="single"/>
          </w:rPr>
          <w:t xml:space="preserve">Governmental entities must not use AI for biometric identification from public data without consent where it infringes rights — Texas Responsible AI Governance Act (TRAIGA), Business and Commerce Code Section 551.054 (Texas (United States))</w:t>
        </w:r>
      </w:hyperlink>
    </w:p>
    <w:p>
      <w:pPr>
        <w:pStyle w:val="Heading2"/>
      </w:pPr>
      <w:bookmarkStart w:id="14" w:name="_Toc15"/>
      <w:r>
        <w:t>Developers and deployers must not use AI with the intent to unlawfully discriminate against a protected class</w:t>
      </w:r>
      <w:bookmarkEnd w:id="14"/>
    </w:p>
    <w:p>
      <w:pPr>
        <w:pStyle w:val="Body"/>
      </w:pPr>
      <w:r>
        <w:rPr/>
        <w:t xml:space="preserve">A person may not develop or deploy an AI system with the intent to unlawfully discriminate against a protected class in violation of state or federal law. A disparate impact on a protected class is not, by itself, sufficient to show an intent to discriminate, and insurers and financial institutions acting under their own regulatory regimes are treated separately.</w:t>
      </w:r>
    </w:p>
    <w:p>
      <w:pPr>
        <w:pStyle w:val="Body"/>
      </w:pPr>
      <w:r>
        <w:rPr/>
        <w:t xml:space="preserve">In practice: Document the non-discriminatory purpose of each decision system and keep fairness testing evidence that shows there was no intent to discriminate.</w:t>
      </w:r>
    </w:p>
    <w:p>
      <w:pPr>
        <w:pStyle w:val="Small"/>
      </w:pPr>
      <w:r>
        <w:rPr>
          <w:color w:val="5D6B7E"/>
          <w:sz w:val="18"/>
          <w:szCs w:val="18"/>
          <w:i w:val="1"/>
          <w:iCs w:val="1"/>
        </w:rPr>
        <w:t xml:space="preserve">Evidence a reviewer would expect: Purpose statement and fairness testing record.</w:t>
      </w:r>
    </w:p>
    <w:p>
      <w:pPr>
        <w:pStyle w:val="Body"/>
      </w:pPr>
      <w:r>
        <w:rPr>
          <w:color w:val="B45309"/>
          <w:b w:val="1"/>
          <w:bCs w:val="1"/>
        </w:rPr>
        <w:t xml:space="preserve">[PLACEHOLDER: How this policy prevents the practice]</w:t>
      </w:r>
    </w:p>
    <w:p>
      <w:pPr>
        <w:pStyle w:val="Small"/>
      </w:pPr>
      <w:r>
        <w:rPr>
          <w:color w:val="5D6B7E"/>
          <w:sz w:val="18"/>
          <w:szCs w:val="18"/>
        </w:rPr>
        <w:t xml:space="preserve">Source: </w:t>
      </w:r>
      <w:hyperlink r:id="rId12" w:history="1">
        <w:r>
          <w:rPr>
            <w:color w:val="006AAC"/>
            <w:sz w:val="18"/>
            <w:szCs w:val="18"/>
            <w:u w:val="single"/>
          </w:rPr>
          <w:t xml:space="preserve">Developers and deployers must not use AI with the intent to unlawfully discriminate against a protected class — Texas Responsible AI Governance Act (TRAIGA), Business and Commerce Code Section 551.056 (Texas (United States))</w:t>
        </w:r>
      </w:hyperlink>
    </w:p>
    <w:p>
      <w:pPr>
        <w:pStyle w:val="Heading2"/>
      </w:pPr>
      <w:bookmarkStart w:id="15" w:name="_Toc16"/>
      <w:r>
        <w:t>Developers and distributors must not build AI intended to produce child sexual abuse material or unlawful sexual deepfakes</w:t>
      </w:r>
      <w:bookmarkEnd w:id="15"/>
    </w:p>
    <w:p>
      <w:pPr>
        <w:pStyle w:val="Body"/>
      </w:pPr>
      <w:r>
        <w:rPr/>
        <w:t xml:space="preserve">A person may not develop or distribute an AI system with the sole intent of producing, assisting or aiding in producing, or distributing child pornography or unlawful deep-fake videos or images, including sexually explicit deepfakes of a person without consent, or of engaging in sexually explicit text-based conversations while impersonating or imitating a child, in violation of the Texas Penal Code.</w:t>
      </w:r>
    </w:p>
    <w:p>
      <w:pPr>
        <w:pStyle w:val="Body"/>
      </w:pPr>
      <w:r>
        <w:rPr/>
        <w:t xml:space="preserve">In practice: Enforce content-safety filters and abuse-detection on generative products and record the intended purpose of any image or chat model at release.</w:t>
      </w:r>
    </w:p>
    <w:p>
      <w:pPr>
        <w:pStyle w:val="Small"/>
      </w:pPr>
      <w:r>
        <w:rPr>
          <w:color w:val="5D6B7E"/>
          <w:sz w:val="18"/>
          <w:szCs w:val="18"/>
          <w:i w:val="1"/>
          <w:iCs w:val="1"/>
        </w:rPr>
        <w:t xml:space="preserve">Evidence a reviewer would expect: Content-safety policy and filter test results; Prohibited-use screening record.</w:t>
      </w:r>
    </w:p>
    <w:p>
      <w:pPr>
        <w:pStyle w:val="Body"/>
      </w:pPr>
      <w:r>
        <w:rPr>
          <w:color w:val="B45309"/>
          <w:b w:val="1"/>
          <w:bCs w:val="1"/>
        </w:rPr>
        <w:t xml:space="preserve">[PLACEHOLDER: How this policy prevents the practice]</w:t>
      </w:r>
    </w:p>
    <w:p>
      <w:pPr>
        <w:pStyle w:val="Small"/>
      </w:pPr>
      <w:r>
        <w:rPr>
          <w:color w:val="5D6B7E"/>
          <w:sz w:val="18"/>
          <w:szCs w:val="18"/>
        </w:rPr>
        <w:t xml:space="preserve">Source: </w:t>
      </w:r>
      <w:hyperlink r:id="rId13" w:history="1">
        <w:r>
          <w:rPr>
            <w:color w:val="006AAC"/>
            <w:sz w:val="18"/>
            <w:szCs w:val="18"/>
            <w:u w:val="single"/>
          </w:rPr>
          <w:t xml:space="preserve">Developers and distributors must not build AI intended to produce child sexual abuse material or unlawful sexual deepfakes — Texas Responsible AI Governance Act (TRAIGA), Business and Commerce Code Section 551.057 (Texas (United States))</w:t>
        </w:r>
      </w:hyperlink>
    </w:p>
    <w:sectPr>
      <w:footerReference w:type="default" r:id="rId14"/>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5D6B7E"/>
        <w:sz w:val="16"/>
        <w:szCs w:val="16"/>
      </w:rPr>
      <w:t xml:space="preserve">AI Acceptable Use Policy · vv1 · aipolicytracker.org · page </w:t>
    </w:r>
    <w:r>
      <w:fldChar w:fldCharType="begin"/>
    </w:r>
    <w:r>
      <w:rPr>
        <w:color w:val="5D6B7E"/>
        <w:sz w:val="16"/>
        <w:szCs w:val="16"/>
      </w:rPr>
      <w:instrText xml:space="preserve">PAGE</w:instrText>
    </w:r>
    <w:r>
      <w:fldChar w:fldCharType="separate"/>
    </w:r>
    <w:r>
      <w:fldChar w:fldCharType="end"/>
    </w:r>
    <w:r>
      <w:rPr>
        <w:color w:val="5D6B7E"/>
        <w:sz w:val="16"/>
        <w:szCs w:val="16"/>
      </w:rPr>
      <w:t xml:space="preserve"> of </w:t>
    </w:r>
    <w:r>
      <w:fldChar w:fldCharType="begin"/>
    </w:r>
    <w:r>
      <w:rPr>
        <w:color w:val="5D6B7E"/>
        <w:sz w:val="16"/>
        <w:szCs w:val="16"/>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0AB12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Title">
    <w:link w:val="titleChar"/>
    <w:name w:val="title"/>
    <w:basedOn w:val="Normal"/>
    <w:pPr>
      <w:spacing w:after="240"/>
    </w:pPr>
    <w:rPr>
      <w:color w:val="002147"/>
      <w:sz w:val="44"/>
      <w:szCs w:val="44"/>
      <w:b w:val="1"/>
      <w:bCs w:val="1"/>
    </w:rPr>
  </w:style>
  <w:style w:type="paragraph" w:styleId="Heading1">
    <w:link w:val="Heading1Char"/>
    <w:name w:val="heading 1"/>
    <w:basedOn w:val="Normal"/>
    <w:pPr>
      <w:spacing w:before="360" w:after="120"/>
    </w:pPr>
    <w:rPr>
      <w:color w:val="002147"/>
      <w:sz w:val="32"/>
      <w:szCs w:val="32"/>
      <w:b w:val="1"/>
      <w:bCs w:val="1"/>
    </w:rPr>
  </w:style>
  <w:style w:type="paragraph" w:styleId="Heading2">
    <w:link w:val="Heading2Char"/>
    <w:name w:val="heading 2"/>
    <w:basedOn w:val="Normal"/>
    <w:pPr>
      <w:spacing w:before="240" w:after="80"/>
    </w:pPr>
    <w:rPr>
      <w:color w:val="002147"/>
      <w:sz w:val="26"/>
      <w:szCs w:val="26"/>
      <w:b w:val="1"/>
      <w:bCs w:val="1"/>
    </w:rPr>
  </w:style>
  <w:style w:type="paragraph" w:styleId="Heading3">
    <w:link w:val="Heading3Char"/>
    <w:name w:val="heading 3"/>
    <w:basedOn w:val="Normal"/>
    <w:pPr>
      <w:spacing w:before="160" w:after="60"/>
    </w:pPr>
    <w:rPr>
      <w:sz w:val="22"/>
      <w:szCs w:val="22"/>
      <w:b w:val="1"/>
      <w:bCs w:val="1"/>
    </w:rPr>
  </w:style>
  <w:style w:type="paragraph" w:customStyle="1" w:styleId="Body">
    <w:name w:val="Body"/>
    <w:basedOn w:val="Normal"/>
    <w:pPr>
      <w:spacing w:after="120" w:line="276" w:lineRule="auto"/>
    </w:pPr>
  </w:style>
  <w:style w:type="paragraph" w:customStyle="1" w:styleId="Small">
    <w:name w:val="Small"/>
    <w:basedOn w:val="Normal"/>
    <w:pPr>
      <w:spacing w:after="80"/>
    </w:p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BFC7D3"/>
        <w:left w:val="single" w:sz="4" w:color="BFC7D3"/>
        <w:right w:val="single" w:sz="4" w:color="BFC7D3"/>
        <w:bottom w:val="single" w:sz="4" w:color="BFC7D3"/>
        <w:insideH w:val="single" w:sz="4" w:color="BFC7D3"/>
        <w:insideV w:val="single" w:sz="4" w:color="BFC7D3"/>
      </w:tblBorders>
    </w:tblPr>
    <w:tblStylePr w:type="firstRow">
      <w:tcPr>
        <w:tcPr>
          <w:shd w:val="clear" w:fill="E8EDF3"/>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ipolicytracker.org/templates/acceptable-use-policy" TargetMode="External"/><Relationship Id="rId8" Type="http://schemas.openxmlformats.org/officeDocument/2006/relationships/hyperlink" Target="https://aipolicytracker.org/obligations/eu-ai-act-prohibited-practices" TargetMode="External"/><Relationship Id="rId9" Type="http://schemas.openxmlformats.org/officeDocument/2006/relationships/hyperlink" Target="https://aipolicytracker.org/obligations/us-texas-responsible-ai-governance-act-traiga-manipulation-prohibition" TargetMode="External"/><Relationship Id="rId10" Type="http://schemas.openxmlformats.org/officeDocument/2006/relationships/hyperlink" Target="https://aipolicytracker.org/obligations/us-texas-responsible-ai-governance-act-traiga-government-social-scoring-prohibition" TargetMode="External"/><Relationship Id="rId11" Type="http://schemas.openxmlformats.org/officeDocument/2006/relationships/hyperlink" Target="https://aipolicytracker.org/obligations/us-texas-responsible-ai-governance-act-traiga-government-biometric-identification-prohibition" TargetMode="External"/><Relationship Id="rId12" Type="http://schemas.openxmlformats.org/officeDocument/2006/relationships/hyperlink" Target="https://aipolicytracker.org/obligations/us-texas-responsible-ai-governance-act-traiga-unlawful-discrimination-prohibition" TargetMode="External"/><Relationship Id="rId13" Type="http://schemas.openxmlformats.org/officeDocument/2006/relationships/hyperlink" Target="https://aipolicytracker.org/obligations/us-texas-responsible-ai-governance-act-traiga-sexual-content-and-csam-prohibitio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aipolicytracker.org</dc:creator>
  <dc:title>AI Acceptable Use Policy</dc:title>
  <dc:description>A policy for staff use of AI tools: permitted and prohibited uses, data handling, disclosure and reporting, with the prohibited practices drawn from the law.</dc:description>
  <dc:subject/>
  <cp:keywords/>
  <cp:category/>
  <cp:lastModifiedBy/>
  <dcterms:created xsi:type="dcterms:W3CDTF">2026-09-26T13:11:01+00:00</dcterms:created>
  <dcterms:modified xsi:type="dcterms:W3CDTF">2026-09-26T13:11:01+00:00</dcterms:modified>
</cp:coreProperties>
</file>

<file path=docProps/custom.xml><?xml version="1.0" encoding="utf-8"?>
<Properties xmlns="http://schemas.openxmlformats.org/officeDocument/2006/custom-properties" xmlns:vt="http://schemas.openxmlformats.org/officeDocument/2006/docPropsVTypes"/>
</file>