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AI Agent Registry and Permission Matrix</w:t>
      </w:r>
    </w:p>
    <w:p>
      <w:pPr>
        <w:pStyle w:val="Body"/>
      </w:pPr>
      <w:r>
        <w:rPr/>
        <w:t xml:space="preserve">A register for agents that act — with tools, credentials and autonomy — and a permission matrix stating what each may do alone, with approval, or never.</w:t>
      </w:r>
    </w:p>
    <w:tbl>
      <w:tblGrid>
        <w:gridCol w:w="2400" w:type="dxa"/>
        <w:gridCol w:w="7200" w:type="dxa"/>
      </w:tblGrid>
      <w:tblPr>
        <w:tblStyle w:val="Grid"/>
      </w:tblPr>
      <w:tr>
        <w:trPr/>
        <w:tc>
          <w:tcPr>
            <w:tcW w:w="2400" w:type="dxa"/>
            <w:noWrap/>
          </w:tcPr>
          <w:p>
            <w:pPr/>
            <w:r>
              <w:rPr>
                <w:b w:val="1"/>
                <w:bCs w:val="1"/>
              </w:rPr>
              <w:t xml:space="preserve">Version</w:t>
            </w:r>
          </w:p>
        </w:tc>
        <w:tc>
          <w:tcPr>
            <w:tcW w:w="7200" w:type="dxa"/>
            <w:noWrap/>
          </w:tcPr>
          <w:p>
            <w:pPr/>
            <w:r>
              <w:rPr/>
              <w:t xml:space="preserve">v1</w:t>
            </w:r>
          </w:p>
        </w:tc>
      </w:tr>
      <w:tr>
        <w:trPr/>
        <w:tc>
          <w:tcPr>
            <w:tcW w:w="2400" w:type="dxa"/>
            <w:noWrap/>
          </w:tcPr>
          <w:p>
            <w:pPr/>
            <w:r>
              <w:rPr>
                <w:b w:val="1"/>
                <w:bCs w:val="1"/>
              </w:rPr>
              <w:t xml:space="preserve">Generated</w:t>
            </w:r>
          </w:p>
        </w:tc>
        <w:tc>
          <w:tcPr>
            <w:tcW w:w="7200" w:type="dxa"/>
            <w:noWrap/>
          </w:tcPr>
          <w:p>
            <w:pPr/>
            <w:r>
              <w:rPr/>
              <w:t xml:space="preserve">2026-09-26</w:t>
            </w:r>
          </w:p>
        </w:tc>
      </w:tr>
      <w:tr>
        <w:trPr/>
        <w:tc>
          <w:tcPr>
            <w:tcW w:w="2400" w:type="dxa"/>
            <w:noWrap/>
          </w:tcPr>
          <w:p>
            <w:pPr/>
            <w:r>
              <w:rPr>
                <w:b w:val="1"/>
                <w:bCs w:val="1"/>
              </w:rPr>
              <w:t xml:space="preserve">Dataset version</w:t>
            </w:r>
          </w:p>
        </w:tc>
        <w:tc>
          <w:tcPr>
            <w:tcW w:w="7200" w:type="dxa"/>
            <w:noWrap/>
          </w:tcPr>
          <w:p>
            <w:pPr/>
            <w:r>
              <w:rPr/>
              <w:t xml:space="preserve">914895c3103e</w:t>
            </w:r>
          </w:p>
        </w:tc>
      </w:tr>
      <w:tr>
        <w:trPr/>
        <w:tc>
          <w:tcPr>
            <w:tcW w:w="2400" w:type="dxa"/>
            <w:noWrap/>
          </w:tcPr>
          <w:p>
            <w:pPr/>
            <w:r>
              <w:rPr>
                <w:b w:val="1"/>
                <w:bCs w:val="1"/>
              </w:rPr>
              <w:t xml:space="preserve">Source</w:t>
            </w:r>
          </w:p>
        </w:tc>
        <w:tc>
          <w:tcPr>
            <w:tcW w:w="7200" w:type="dxa"/>
            <w:noWrap/>
          </w:tcPr>
          <w:p>
            <w:hyperlink r:id="rId7" w:history="1">
              <w:r>
                <w:rPr>
                  <w:color w:val="006AAC"/>
                  <w:u w:val="single"/>
                </w:rPr>
                <w:t xml:space="preserve">https://aipolicytracker.org/templates/ai-agent-registry</w:t>
              </w:r>
            </w:hyperlink>
          </w:p>
        </w:tc>
      </w:tr>
      <w:tr>
        <w:trPr/>
        <w:tc>
          <w:tcPr>
            <w:tcW w:w="2400" w:type="dxa"/>
            <w:noWrap/>
          </w:tcPr>
          <w:p>
            <w:pPr/>
            <w:r>
              <w:rPr>
                <w:b w:val="1"/>
                <w:bCs w:val="1"/>
              </w:rPr>
              <w:t xml:space="preserve">Licence</w:t>
            </w:r>
          </w:p>
        </w:tc>
        <w:tc>
          <w:tcPr>
            <w:tcW w:w="7200" w:type="dxa"/>
            <w:noWrap/>
          </w:tcPr>
          <w:p>
            <w:pPr/>
            <w:r>
              <w:rPr/>
              <w:t xml:space="preserve">CC BY 4.0. You may use, adapt and share this template, including commercially, with attribution to aipolicytracker.org.</w:t>
            </w:r>
          </w:p>
        </w:tc>
      </w:tr>
    </w:tbl>
    <w:p/>
    <w:p>
      <w:pPr/>
      <w:r>
        <w:rPr>
          <w:b w:val="1"/>
          <w:bCs w:val="1"/>
        </w:rPr>
        <w:t xml:space="preserve">Disclaimer</w:t>
      </w:r>
    </w:p>
    <w:p>
      <w:pPr>
        <w:pStyle w:val="Small"/>
      </w:pPr>
      <w:r>
        <w:rPr>
          <w:color w:val="5D6B7E"/>
          <w:sz w:val="18"/>
          <w:szCs w:val="18"/>
        </w:rPr>
        <w:t xml:space="preserve">This template is generated from the records on aipolicytracker.org. It is an informational resource, not legal advice, and completing it does not make an organisation compliant with any law or standard. Every row that cites a duty links to the record it came from; check the official source before relying on it.</w:t>
      </w:r>
    </w:p>
    <w:p>
      <w:pPr>
        <w:pStyle w:val="Small"/>
      </w:pPr>
      <w:r>
        <w:rPr>
          <w:color w:val="5D6B7E"/>
          <w:sz w:val="18"/>
          <w:szCs w:val="18"/>
        </w:rPr>
        <w:t xml:space="preserve">Placeholders are shown as [PLACEHOLDER: …] in amber. Replace every one before the document is used; a search for "[PLACEHOLDER" finds any that remain.</w:t>
      </w:r>
    </w:p>
    <w:p>
      <w:pPr/>
      <w:r>
        <w:rPr>
          <w:b w:val="1"/>
          <w:bCs w:val="1"/>
        </w:rPr>
        <w:t xml:space="preserve">Contents</w:t>
      </w:r>
    </w:p>
    <w:p>
      <w:pPr>
        <w:tabs>
          <w:tab w:val="right" w:leader="dot" w:pos="9062"/>
        </w:tabs>
      </w:pPr>
      <w:r>
        <w:fldChar w:fldCharType="begin"/>
      </w:r>
      <w:r>
        <w:instrText xml:space="preserve">TOC \o 1-2 \h \z \u</w:instrText>
      </w:r>
      <w:r>
        <w:fldChar w:fldCharType="separate"/>
      </w:r>
      <w:hyperlink w:anchor="_Toc1" w:history="1">
        <w:r>
          <w:rPr>
            <w:sz w:val="20"/>
            <w:szCs w:val="20"/>
          </w:rPr>
          <w:t>Agents are systems that act</w:t>
        </w:r>
        <w:r>
          <w:tab/>
        </w:r>
        <w:r>
          <w:fldChar w:fldCharType="begin"/>
        </w:r>
        <w:r>
          <w:instrText xml:space="preserve">PAGEREF 1 \h</w:instrText>
        </w:r>
        <w:r>
          <w:fldChar w:fldCharType="end"/>
        </w:r>
      </w:hyperlink>
    </w:p>
    <w:p>
      <w:pPr>
        <w:tabs>
          <w:tab w:val="right" w:leader="dot" w:pos="9062"/>
        </w:tabs>
      </w:pPr>
      <w:hyperlink w:anchor="_Toc2" w:history="1">
        <w:r>
          <w:rPr>
            <w:sz w:val="20"/>
            <w:szCs w:val="20"/>
          </w:rPr>
          <w:t>Permission levels</w:t>
        </w:r>
        <w:r>
          <w:tab/>
        </w:r>
        <w:r>
          <w:fldChar w:fldCharType="begin"/>
        </w:r>
        <w:r>
          <w:instrText xml:space="preserve">PAGEREF 2 \h</w:instrText>
        </w:r>
        <w:r>
          <w:fldChar w:fldCharType="end"/>
        </w:r>
      </w:hyperlink>
    </w:p>
    <w:p>
      <w:pPr>
        <w:tabs>
          <w:tab w:val="right" w:leader="dot" w:pos="9062"/>
        </w:tabs>
      </w:pPr>
      <w:hyperlink w:anchor="_Toc3" w:history="1">
        <w:r>
          <w:rPr>
            <w:sz w:val="20"/>
            <w:szCs w:val="20"/>
          </w:rPr>
          <w:t>Duties that apply</w:t>
        </w:r>
        <w:r>
          <w:tab/>
        </w:r>
        <w:r>
          <w:fldChar w:fldCharType="begin"/>
        </w:r>
        <w:r>
          <w:instrText xml:space="preserve">PAGEREF 3 \h</w:instrText>
        </w:r>
        <w:r>
          <w:fldChar w:fldCharType="end"/>
        </w:r>
      </w:hyperlink>
    </w:p>
    <w:p>
      <w:pPr>
        <w:tabs>
          <w:tab w:val="right" w:leader="dot" w:pos="9062"/>
        </w:tabs>
        <w:ind w:left="200"/>
      </w:pPr>
      <w:hyperlink w:anchor="_Toc4" w:history="1">
        <w:r>
          <w:rPr>
            <w:sz w:val="20"/>
            <w:szCs w:val="20"/>
          </w:rPr>
          <w:t>Test and monitor systems, enable human control, and be transparent with users (guardrails 4 to 6)</w:t>
        </w:r>
        <w:r>
          <w:tab/>
        </w:r>
        <w:r>
          <w:fldChar w:fldCharType="begin"/>
        </w:r>
        <w:r>
          <w:instrText xml:space="preserve">PAGEREF 4 \h</w:instrText>
        </w:r>
        <w:r>
          <w:fldChar w:fldCharType="end"/>
        </w:r>
      </w:hyperlink>
    </w:p>
    <w:p>
      <w:pPr>
        <w:tabs>
          <w:tab w:val="right" w:leader="dot" w:pos="9062"/>
        </w:tabs>
        <w:ind w:left="200"/>
      </w:pPr>
      <w:hyperlink w:anchor="_Toc5" w:history="1">
        <w:r>
          <w:rPr>
            <w:sz w:val="20"/>
            <w:szCs w:val="20"/>
          </w:rPr>
          <w:t>Enable and assign effective human oversight</w:t>
        </w:r>
        <w:r>
          <w:tab/>
        </w:r>
        <w:r>
          <w:fldChar w:fldCharType="begin"/>
        </w:r>
        <w:r>
          <w:instrText xml:space="preserve">PAGEREF 5 \h</w:instrText>
        </w:r>
        <w:r>
          <w:fldChar w:fldCharType="end"/>
        </w:r>
      </w:hyperlink>
    </w:p>
    <w:p>
      <w:pPr>
        <w:tabs>
          <w:tab w:val="right" w:leader="dot" w:pos="9062"/>
        </w:tabs>
        <w:ind w:left="200"/>
      </w:pPr>
      <w:hyperlink w:anchor="_Toc6" w:history="1">
        <w:r>
          <w:rPr>
            <w:sz w:val="20"/>
            <w:szCs w:val="20"/>
          </w:rPr>
          <w:t>Employers and employment agencies must let candidates request an alternative selection process or accommodation</w:t>
        </w:r>
        <w:r>
          <w:tab/>
        </w:r>
        <w:r>
          <w:fldChar w:fldCharType="begin"/>
        </w:r>
        <w:r>
          <w:instrText xml:space="preserve">PAGEREF 6 \h</w:instrText>
        </w:r>
        <w:r>
          <w:fldChar w:fldCharType="end"/>
        </w:r>
      </w:hyperlink>
    </w:p>
    <w:p>
      <w:pPr>
        <w:tabs>
          <w:tab w:val="right" w:leader="dot" w:pos="9062"/>
        </w:tabs>
        <w:ind w:left="200"/>
      </w:pPr>
      <w:hyperlink w:anchor="_Toc7" w:history="1">
        <w:r>
          <w:rPr>
            <w:sz w:val="20"/>
            <w:szCs w:val="20"/>
          </w:rPr>
          <w:t>Determine the appropriate level of human involvement in AI decisions</w:t>
        </w:r>
        <w:r>
          <w:tab/>
        </w:r>
        <w:r>
          <w:fldChar w:fldCharType="begin"/>
        </w:r>
        <w:r>
          <w:instrText xml:space="preserve">PAGEREF 7 \h</w:instrText>
        </w:r>
        <w:r>
          <w:fldChar w:fldCharType="end"/>
        </w:r>
      </w:hyperlink>
    </w:p>
    <w:p>
      <w:pPr>
        <w:tabs>
          <w:tab w:val="right" w:leader="dot" w:pos="9062"/>
        </w:tabs>
        <w:ind w:left="200"/>
      </w:pPr>
      <w:hyperlink w:anchor="_Toc8" w:history="1">
        <w:r>
          <w:rPr>
            <w:sz w:val="20"/>
            <w:szCs w:val="20"/>
          </w:rPr>
          <w:t>Operators of high-impact AI must ensure human management and supervision</w:t>
        </w:r>
        <w:r>
          <w:tab/>
        </w:r>
        <w:r>
          <w:fldChar w:fldCharType="begin"/>
        </w:r>
        <w:r>
          <w:instrText xml:space="preserve">PAGEREF 8 \h</w:instrText>
        </w:r>
        <w:r>
          <w:fldChar w:fldCharType="end"/>
        </w:r>
      </w:hyperlink>
    </w:p>
    <w:p>
      <w:pPr>
        <w:tabs>
          <w:tab w:val="right" w:leader="dot" w:pos="9062"/>
        </w:tabs>
        <w:ind w:left="200"/>
      </w:pPr>
      <w:hyperlink w:anchor="_Toc9" w:history="1">
        <w:r>
          <w:rPr>
            <w:sz w:val="20"/>
            <w:szCs w:val="20"/>
          </w:rPr>
          <w:t>Respect the right to object to automated decision-making without human intervention</w:t>
        </w:r>
        <w:r>
          <w:tab/>
        </w:r>
        <w:r>
          <w:fldChar w:fldCharType="begin"/>
        </w:r>
        <w:r>
          <w:instrText xml:space="preserve">PAGEREF 9 \h</w:instrText>
        </w:r>
        <w:r>
          <w:fldChar w:fldCharType="end"/>
        </w:r>
      </w:hyperlink>
    </w:p>
    <w:p>
      <w:pPr>
        <w:tabs>
          <w:tab w:val="right" w:leader="dot" w:pos="9062"/>
        </w:tabs>
        <w:ind w:left="200"/>
      </w:pPr>
      <w:hyperlink w:anchor="_Toc10" w:history="1">
        <w:r>
          <w:rPr>
            <w:sz w:val="20"/>
            <w:szCs w:val="20"/>
          </w:rPr>
          <w:t>Provide routes to contest AI outcomes and seek redress</w:t>
        </w:r>
        <w:r>
          <w:tab/>
        </w:r>
        <w:r>
          <w:fldChar w:fldCharType="begin"/>
        </w:r>
        <w:r>
          <w:instrText xml:space="preserve">PAGEREF 10 \h</w:instrText>
        </w:r>
        <w:r>
          <w:fldChar w:fldCharType="end"/>
        </w:r>
      </w:hyperlink>
    </w:p>
    <w:p>
      <w:pPr>
        <w:tabs>
          <w:tab w:val="right" w:leader="dot" w:pos="9062"/>
        </w:tabs>
        <w:ind w:left="200"/>
      </w:pPr>
      <w:hyperlink w:anchor="_Toc11" w:history="1">
        <w:r>
          <w:rPr>
            <w:sz w:val="20"/>
            <w:szCs w:val="20"/>
          </w:rPr>
          <w:t>Apply safeguards to solely automated decisions with significant effects</w:t>
        </w:r>
        <w:r>
          <w:tab/>
        </w:r>
        <w:r>
          <w:fldChar w:fldCharType="begin"/>
        </w:r>
        <w:r>
          <w:instrText xml:space="preserve">PAGEREF 11 \h</w:instrText>
        </w:r>
        <w:r>
          <w:fldChar w:fldCharType="end"/>
        </w:r>
      </w:hyperlink>
    </w:p>
    <w:p>
      <w:r>
        <w:fldChar w:fldCharType="end"/>
      </w:r>
    </w:p>
    <w:p>
      <w:r>
        <w:br w:type="page"/>
      </w:r>
    </w:p>
    <w:p>
      <w:pPr>
        <w:pStyle w:val="Heading1"/>
      </w:pPr>
      <w:bookmarkStart w:id="0" w:name="_Toc1"/>
      <w:r>
        <w:t>Agents are systems that act</w:t>
      </w:r>
      <w:bookmarkEnd w:id="0"/>
    </w:p>
    <w:p>
      <w:pPr>
        <w:pStyle w:val="Body"/>
      </w:pPr>
      <w:r>
        <w:rPr/>
        <w:t xml:space="preserve">An agent holds tools, credentials and some autonomy. The recorded duties on oversight, transparency and record-keeping were written for AI systems; they apply with more force to one that can send, spend or execute without a person in the loop. This registry records what each agent may do, and the matrix records what it may do alone.</w:t>
      </w:r>
    </w:p>
    <w:p>
      <w:pPr>
        <w:pStyle w:val="Heading1"/>
      </w:pPr>
      <w:bookmarkStart w:id="1" w:name="_Toc2"/>
      <w:r>
        <w:t>Permission levels</w:t>
      </w:r>
      <w:bookmarkEnd w:id="1"/>
    </w:p>
    <w:tbl>
      <w:tblGrid>
        <w:gridCol w:w="4800" w:type="dxa"/>
        <w:gridCol w:w="4800" w:type="dxa"/>
      </w:tblGrid>
      <w:tblPr>
        <w:tblStyle w:val="Grid"/>
      </w:tblPr>
      <w:tr>
        <w:trPr>
          <w:tblHeader w:val="1"/>
        </w:trPr>
        <w:tc>
          <w:tcPr>
            <w:tcW w:w="4800" w:type="dxa"/>
            <w:shd w:val="clear" w:fill="E8EDF3"/>
            <w:noWrap/>
          </w:tcPr>
          <w:p>
            <w:pPr/>
            <w:r>
              <w:rPr>
                <w:sz w:val="18"/>
                <w:szCs w:val="18"/>
                <w:b w:val="1"/>
                <w:bCs w:val="1"/>
              </w:rPr>
              <w:t xml:space="preserve">Level</w:t>
            </w:r>
          </w:p>
        </w:tc>
        <w:tc>
          <w:tcPr>
            <w:tcW w:w="4800" w:type="dxa"/>
            <w:shd w:val="clear" w:fill="E8EDF3"/>
            <w:noWrap/>
          </w:tcPr>
          <w:p>
            <w:pPr/>
            <w:r>
              <w:rPr>
                <w:sz w:val="18"/>
                <w:szCs w:val="18"/>
                <w:b w:val="1"/>
                <w:bCs w:val="1"/>
              </w:rPr>
              <w:t xml:space="preserve">Meaning</w:t>
            </w:r>
          </w:p>
        </w:tc>
      </w:tr>
      <w:tr>
        <w:trPr/>
        <w:tc>
          <w:tcPr>
            <w:tcW w:w="4800" w:type="dxa"/>
            <w:noWrap/>
          </w:tcPr>
          <w:p>
            <w:pPr/>
            <w:r>
              <w:rPr>
                <w:sz w:val="18"/>
                <w:szCs w:val="18"/>
              </w:rPr>
              <w:t xml:space="preserve">Allowed</w:t>
            </w:r>
          </w:p>
        </w:tc>
        <w:tc>
          <w:tcPr>
            <w:tcW w:w="4800" w:type="dxa"/>
            <w:noWrap/>
          </w:tcPr>
          <w:p>
            <w:pPr/>
            <w:r>
              <w:rPr>
                <w:sz w:val="18"/>
                <w:szCs w:val="18"/>
              </w:rPr>
              <w:t xml:space="preserve">The agent may do this without a person; every action is logged.</w:t>
            </w:r>
          </w:p>
        </w:tc>
      </w:tr>
      <w:tr>
        <w:trPr/>
        <w:tc>
          <w:tcPr>
            <w:tcW w:w="4800" w:type="dxa"/>
            <w:noWrap/>
          </w:tcPr>
          <w:p>
            <w:pPr/>
            <w:r>
              <w:rPr>
                <w:sz w:val="18"/>
                <w:szCs w:val="18"/>
              </w:rPr>
              <w:t xml:space="preserve">With human approval</w:t>
            </w:r>
          </w:p>
        </w:tc>
        <w:tc>
          <w:tcPr>
            <w:tcW w:w="4800" w:type="dxa"/>
            <w:noWrap/>
          </w:tcPr>
          <w:p>
            <w:pPr/>
            <w:r>
              <w:rPr>
                <w:sz w:val="18"/>
                <w:szCs w:val="18"/>
              </w:rPr>
              <w:t xml:space="preserve">The agent proposes; a named person approves before it acts.</w:t>
            </w:r>
          </w:p>
        </w:tc>
      </w:tr>
      <w:tr>
        <w:trPr/>
        <w:tc>
          <w:tcPr>
            <w:tcW w:w="4800" w:type="dxa"/>
            <w:noWrap/>
          </w:tcPr>
          <w:p>
            <w:pPr/>
            <w:r>
              <w:rPr>
                <w:sz w:val="18"/>
                <w:szCs w:val="18"/>
              </w:rPr>
              <w:t xml:space="preserve">Denied</w:t>
            </w:r>
          </w:p>
        </w:tc>
        <w:tc>
          <w:tcPr>
            <w:tcW w:w="4800" w:type="dxa"/>
            <w:noWrap/>
          </w:tcPr>
          <w:p>
            <w:pPr/>
            <w:r>
              <w:rPr>
                <w:sz w:val="18"/>
                <w:szCs w:val="18"/>
              </w:rPr>
              <w:t xml:space="preserve">The agent cannot do this; the capability is not connected.</w:t>
            </w:r>
          </w:p>
        </w:tc>
      </w:tr>
    </w:tbl>
    <w:p/>
    <w:p>
      <w:pPr>
        <w:pStyle w:val="Heading1"/>
      </w:pPr>
      <w:bookmarkStart w:id="2" w:name="_Toc3"/>
      <w:r>
        <w:t>Duties that apply</w:t>
      </w:r>
      <w:bookmarkEnd w:id="2"/>
    </w:p>
    <w:p>
      <w:pPr>
        <w:pStyle w:val="Heading2"/>
      </w:pPr>
      <w:bookmarkStart w:id="3" w:name="_Toc4"/>
      <w:r>
        <w:t>Test and monitor systems, enable human control, and be transparent with users (guardrails 4 to 6)</w:t>
      </w:r>
      <w:bookmarkEnd w:id="3"/>
    </w:p>
    <w:p>
      <w:pPr>
        <w:pStyle w:val="Body"/>
      </w:pPr>
      <w:r>
        <w:rPr/>
        <w:t xml:space="preserve">Test AI models and systems before deployment and monitor them in operation; enable meaningful human control and intervention; and inform end users about AI-enabled decisions, interactions with AI and AI-generated content.</w:t>
      </w:r>
    </w:p>
    <w:p>
      <w:pPr>
        <w:pStyle w:val="Body"/>
      </w:pPr>
      <w:r>
        <w:rPr/>
        <w:t xml:space="preserve">In practice: Publish AI disclosures, define override paths and keep test and monitoring records.</w:t>
      </w:r>
    </w:p>
    <w:p>
      <w:pPr>
        <w:pStyle w:val="Small"/>
      </w:pPr>
      <w:r>
        <w:rPr>
          <w:color w:val="5D6B7E"/>
          <w:sz w:val="18"/>
          <w:szCs w:val="18"/>
          <w:i w:val="1"/>
          <w:iCs w:val="1"/>
        </w:rPr>
        <w:t xml:space="preserve">Evidence a reviewer would expect: Test reports and user disclosure records.</w:t>
      </w:r>
    </w:p>
    <w:p>
      <w:pPr>
        <w:pStyle w:val="Body"/>
      </w:pPr>
      <w:r>
        <w:rPr>
          <w:color w:val="B45309"/>
          <w:b w:val="1"/>
          <w:bCs w:val="1"/>
        </w:rPr>
        <w:t xml:space="preserve">[PLACEHOLDER: How this agent meets the duty, and who is the human in the loop]</w:t>
      </w:r>
    </w:p>
    <w:p>
      <w:pPr>
        <w:pStyle w:val="Small"/>
      </w:pPr>
      <w:r>
        <w:rPr>
          <w:color w:val="5D6B7E"/>
          <w:sz w:val="18"/>
          <w:szCs w:val="18"/>
        </w:rPr>
        <w:t xml:space="preserve">Source: </w:t>
      </w:r>
      <w:hyperlink r:id="rId8" w:history="1">
        <w:r>
          <w:rPr>
            <w:color w:val="006AAC"/>
            <w:sz w:val="18"/>
            <w:szCs w:val="18"/>
            <w:u w:val="single"/>
          </w:rPr>
          <w:t xml:space="preserve">Test and monitor systems, enable human control, and be transparent with users (guardrails 4 to 6) — Australian Voluntary AI Safety Standard, Guardrails 4, 5 and 6 (Australia)</w:t>
        </w:r>
      </w:hyperlink>
    </w:p>
    <w:p>
      <w:pPr>
        <w:pStyle w:val="Heading2"/>
      </w:pPr>
      <w:bookmarkStart w:id="4" w:name="_Toc5"/>
      <w:r>
        <w:t>Enable and assign effective human oversight</w:t>
      </w:r>
      <w:bookmarkEnd w:id="4"/>
    </w:p>
    <w:p>
      <w:pPr>
        <w:pStyle w:val="Body"/>
      </w:pPr>
      <w:r>
        <w:rPr/>
        <w:t xml:space="preserve">High-risk systems must be designed with human-machine interface tools so natural persons can effectively oversee them, understand capacities and limitations, avoid automation bias, interpret output, decide not to use the system, and intervene or stop it. Deployers must assign oversight to people with the necessary competence, training and authority. For certain remote biometric identification systems, action requires verification by at least two competent persons.</w:t>
      </w:r>
    </w:p>
    <w:p>
      <w:pPr>
        <w:pStyle w:val="Body"/>
      </w:pPr>
      <w:r>
        <w:rPr/>
        <w:t xml:space="preserve">In practice: Document oversight roles, the "stop" mechanism and override paths for each high-risk deployment.</w:t>
      </w:r>
    </w:p>
    <w:p>
      <w:pPr>
        <w:pStyle w:val="Small"/>
      </w:pPr>
      <w:r>
        <w:rPr>
          <w:color w:val="5D6B7E"/>
          <w:sz w:val="18"/>
          <w:szCs w:val="18"/>
          <w:i w:val="1"/>
          <w:iCs w:val="1"/>
        </w:rPr>
        <w:t xml:space="preserve">Evidence a reviewer would expect: Human oversight procedure and role assignment.</w:t>
      </w:r>
    </w:p>
    <w:p>
      <w:pPr>
        <w:pStyle w:val="Body"/>
      </w:pPr>
      <w:r>
        <w:rPr>
          <w:color w:val="B45309"/>
          <w:b w:val="1"/>
          <w:bCs w:val="1"/>
        </w:rPr>
        <w:t xml:space="preserve">[PLACEHOLDER: How this agent meets the duty, and who is the human in the loop]</w:t>
      </w:r>
    </w:p>
    <w:p>
      <w:pPr>
        <w:pStyle w:val="Small"/>
      </w:pPr>
      <w:r>
        <w:rPr>
          <w:color w:val="5D6B7E"/>
          <w:sz w:val="18"/>
          <w:szCs w:val="18"/>
        </w:rPr>
        <w:t xml:space="preserve">Source: </w:t>
      </w:r>
      <w:hyperlink r:id="rId9" w:history="1">
        <w:r>
          <w:rPr>
            <w:color w:val="006AAC"/>
            <w:sz w:val="18"/>
            <w:szCs w:val="18"/>
            <w:u w:val="single"/>
          </w:rPr>
          <w:t xml:space="preserve">Enable and assign effective human oversight — EU AI Act, Article 14; Article 26(2) for deployers (European Union)</w:t>
        </w:r>
      </w:hyperlink>
    </w:p>
    <w:p>
      <w:pPr>
        <w:pStyle w:val="Heading2"/>
      </w:pPr>
      <w:bookmarkStart w:id="5" w:name="_Toc6"/>
      <w:r>
        <w:t>Employers and employment agencies must let candidates request an alternative selection process or accommodation</w:t>
      </w:r>
      <w:bookmarkEnd w:id="5"/>
    </w:p>
    <w:p>
      <w:pPr>
        <w:pStyle w:val="Body"/>
      </w:pPr>
      <w:r>
        <w:rPr/>
        <w:t xml:space="preserve">The advance notice to candidates and employees must allow them to request an alternative selection process or a reasonable accommodation. The DCWP rules make clear that the law itself does not require the employer to provide an alternative process, but the request route must exist and accommodation requests remain governed by disability and human-rights law. Instructions for making the request must be included in the notice.</w:t>
      </w:r>
    </w:p>
    <w:p>
      <w:pPr>
        <w:pStyle w:val="Body"/>
      </w:pPr>
      <w:r>
        <w:rPr/>
        <w:t xml:space="preserve">In practice: Provide a request mechanism in the candidate notice and record how each request was handled under the accommodation policy.</w:t>
      </w:r>
    </w:p>
    <w:p>
      <w:pPr>
        <w:pStyle w:val="Small"/>
      </w:pPr>
      <w:r>
        <w:rPr>
          <w:color w:val="5D6B7E"/>
          <w:sz w:val="18"/>
          <w:szCs w:val="18"/>
          <w:i w:val="1"/>
          <w:iCs w:val="1"/>
        </w:rPr>
        <w:t xml:space="preserve">Evidence a reviewer would expect: Alternative-process and accommodation request log.</w:t>
      </w:r>
    </w:p>
    <w:p>
      <w:pPr>
        <w:pStyle w:val="Body"/>
      </w:pPr>
      <w:r>
        <w:rPr>
          <w:color w:val="B45309"/>
          <w:b w:val="1"/>
          <w:bCs w:val="1"/>
        </w:rPr>
        <w:t xml:space="preserve">[PLACEHOLDER: How this agent meets the duty, and who is the human in the loop]</w:t>
      </w:r>
    </w:p>
    <w:p>
      <w:pPr>
        <w:pStyle w:val="Small"/>
      </w:pPr>
      <w:r>
        <w:rPr>
          <w:color w:val="5D6B7E"/>
          <w:sz w:val="18"/>
          <w:szCs w:val="18"/>
        </w:rPr>
        <w:t xml:space="preserve">Source: </w:t>
      </w:r>
      <w:hyperlink r:id="rId10" w:history="1">
        <w:r>
          <w:rPr>
            <w:color w:val="006AAC"/>
            <w:sz w:val="18"/>
            <w:szCs w:val="18"/>
            <w:u w:val="single"/>
          </w:rPr>
          <w:t xml:space="preserve">Employers and employment agencies must let candidates request an alternative selection process or accommodation — NYC Local Law 144 (automated employment decision tools), NYC Administrative Code Section 20-871(b)(1); 6 RCNY Section 5-303 (New York (United States))</w:t>
        </w:r>
      </w:hyperlink>
    </w:p>
    <w:p>
      <w:pPr>
        <w:pStyle w:val="Heading2"/>
      </w:pPr>
      <w:bookmarkStart w:id="6" w:name="_Toc7"/>
      <w:r>
        <w:t>Determine the appropriate level of human involvement in AI decisions</w:t>
      </w:r>
      <w:bookmarkEnd w:id="6"/>
    </w:p>
    <w:p>
      <w:pPr>
        <w:pStyle w:val="Body"/>
      </w:pPr>
      <w:r>
        <w:rPr/>
        <w:t xml:space="preserve">Using a risk-impact matrix (probability and severity of harm), organisations choose human-in-the-loop, human-over-the-loop or human-out-of-the-loop designs and document the rationale.</w:t>
      </w:r>
    </w:p>
    <w:p>
      <w:pPr>
        <w:pStyle w:val="Body"/>
      </w:pPr>
      <w:r>
        <w:rPr/>
        <w:t xml:space="preserve">In practice: Record the human-involvement choice and rationale for each AI decision point.</w:t>
      </w:r>
    </w:p>
    <w:p>
      <w:pPr>
        <w:pStyle w:val="Small"/>
      </w:pPr>
      <w:r>
        <w:rPr>
          <w:color w:val="5D6B7E"/>
          <w:sz w:val="18"/>
          <w:szCs w:val="18"/>
          <w:i w:val="1"/>
          <w:iCs w:val="1"/>
        </w:rPr>
        <w:t xml:space="preserve">Evidence a reviewer would expect: Risk-impact assessment and human-involvement decision.</w:t>
      </w:r>
    </w:p>
    <w:p>
      <w:pPr>
        <w:pStyle w:val="Body"/>
      </w:pPr>
      <w:r>
        <w:rPr>
          <w:color w:val="B45309"/>
          <w:b w:val="1"/>
          <w:bCs w:val="1"/>
        </w:rPr>
        <w:t xml:space="preserve">[PLACEHOLDER: How this agent meets the duty, and who is the human in the loop]</w:t>
      </w:r>
    </w:p>
    <w:p>
      <w:pPr>
        <w:pStyle w:val="Small"/>
      </w:pPr>
      <w:r>
        <w:rPr>
          <w:color w:val="5D6B7E"/>
          <w:sz w:val="18"/>
          <w:szCs w:val="18"/>
        </w:rPr>
        <w:t xml:space="preserve">Source: </w:t>
      </w:r>
      <w:hyperlink r:id="rId11" w:history="1">
        <w:r>
          <w:rPr>
            <w:color w:val="006AAC"/>
            <w:sz w:val="18"/>
            <w:szCs w:val="18"/>
            <w:u w:val="single"/>
          </w:rPr>
          <w:t xml:space="preserve">Determine the appropriate level of human involvement in AI decisions — Singapore Model AI Governance Framework, Second edition, Part on human involvement in AI-augmented decision-making (Singapore)</w:t>
        </w:r>
      </w:hyperlink>
    </w:p>
    <w:p>
      <w:pPr>
        <w:pStyle w:val="Heading2"/>
      </w:pPr>
      <w:bookmarkStart w:id="7" w:name="_Toc8"/>
      <w:r>
        <w:t>Operators of high-impact AI must ensure human management and supervision</w:t>
      </w:r>
      <w:bookmarkEnd w:id="7"/>
    </w:p>
    <w:p>
      <w:pPr>
        <w:pStyle w:val="Body"/>
      </w:pPr>
      <w:r>
        <w:rPr/>
        <w:t xml:space="preserve">Operators of high-impact AI must ensure that the AI is subject to human management and supervision, so that people remain able to monitor its operation and intervene in or override its outputs where those outputs may affect life, physical safety or fundamental rights.</w:t>
      </w:r>
    </w:p>
    <w:p>
      <w:pPr>
        <w:pStyle w:val="Body"/>
      </w:pPr>
      <w:r>
        <w:rPr/>
        <w:t xml:space="preserve">In practice: Assign accountable supervisors for each high-impact system and design the interface so they can pause, correct or overrule outputs.</w:t>
      </w:r>
    </w:p>
    <w:p>
      <w:pPr>
        <w:pStyle w:val="Small"/>
      </w:pPr>
      <w:r>
        <w:rPr>
          <w:color w:val="5D6B7E"/>
          <w:sz w:val="18"/>
          <w:szCs w:val="18"/>
          <w:i w:val="1"/>
          <w:iCs w:val="1"/>
        </w:rPr>
        <w:t xml:space="preserve">Evidence a reviewer would expect: Human supervision design and assigned supervisors.</w:t>
      </w:r>
    </w:p>
    <w:p>
      <w:pPr>
        <w:pStyle w:val="Body"/>
      </w:pPr>
      <w:r>
        <w:rPr>
          <w:color w:val="B45309"/>
          <w:b w:val="1"/>
          <w:bCs w:val="1"/>
        </w:rPr>
        <w:t xml:space="preserve">[PLACEHOLDER: How this agent meets the duty, and who is the human in the loop]</w:t>
      </w:r>
    </w:p>
    <w:p>
      <w:pPr>
        <w:pStyle w:val="Small"/>
      </w:pPr>
      <w:r>
        <w:rPr>
          <w:color w:val="5D6B7E"/>
          <w:sz w:val="18"/>
          <w:szCs w:val="18"/>
        </w:rPr>
        <w:t xml:space="preserve">Source: </w:t>
      </w:r>
      <w:hyperlink r:id="rId12" w:history="1">
        <w:r>
          <w:rPr>
            <w:color w:val="006AAC"/>
            <w:sz w:val="18"/>
            <w:szCs w:val="18"/>
            <w:u w:val="single"/>
          </w:rPr>
          <w:t xml:space="preserve">Operators of high-impact AI must ensure human management and supervision — Framework Act on the Development of Artificial Intelligence and Establishment of a Foundation for Trust, Article 34(1) (South Korea)</w:t>
        </w:r>
      </w:hyperlink>
    </w:p>
    <w:p>
      <w:pPr>
        <w:pStyle w:val="Heading2"/>
      </w:pPr>
      <w:bookmarkStart w:id="8" w:name="_Toc9"/>
      <w:r>
        <w:t>Respect the right to object to automated decision-making without human intervention</w:t>
      </w:r>
      <w:bookmarkEnd w:id="8"/>
    </w:p>
    <w:p>
      <w:pPr>
        <w:pStyle w:val="Body"/>
      </w:pPr>
      <w:r>
        <w:rPr/>
        <w:t xml:space="preserve">Data subjects may object to decisions based solely on automated processing, including profiling, that produce legal or similarly serious effects, subject to exceptions such as contractual necessity or consent.</w:t>
      </w:r>
    </w:p>
    <w:p>
      <w:pPr>
        <w:pStyle w:val="Body"/>
      </w:pPr>
      <w:r>
        <w:rPr/>
        <w:t xml:space="preserve">In practice: Provide a human-review route for significant automated decisions affecting UAE residents.</w:t>
      </w:r>
    </w:p>
    <w:p>
      <w:pPr>
        <w:pStyle w:val="Small"/>
      </w:pPr>
      <w:r>
        <w:rPr>
          <w:color w:val="5D6B7E"/>
          <w:sz w:val="18"/>
          <w:szCs w:val="18"/>
          <w:i w:val="1"/>
          <w:iCs w:val="1"/>
        </w:rPr>
        <w:t xml:space="preserve">Evidence a reviewer would expect: Automated decision objection procedure.</w:t>
      </w:r>
    </w:p>
    <w:p>
      <w:pPr>
        <w:pStyle w:val="Body"/>
      </w:pPr>
      <w:r>
        <w:rPr>
          <w:color w:val="B45309"/>
          <w:b w:val="1"/>
          <w:bCs w:val="1"/>
        </w:rPr>
        <w:t xml:space="preserve">[PLACEHOLDER: How this agent meets the duty, and who is the human in the loop]</w:t>
      </w:r>
    </w:p>
    <w:p>
      <w:pPr>
        <w:pStyle w:val="Small"/>
      </w:pPr>
      <w:r>
        <w:rPr>
          <w:color w:val="5D6B7E"/>
          <w:sz w:val="18"/>
          <w:szCs w:val="18"/>
        </w:rPr>
        <w:t xml:space="preserve">Source: </w:t>
      </w:r>
      <w:hyperlink r:id="rId13" w:history="1">
        <w:r>
          <w:rPr>
            <w:color w:val="006AAC"/>
            <w:sz w:val="18"/>
            <w:szCs w:val="18"/>
            <w:u w:val="single"/>
          </w:rPr>
          <w:t xml:space="preserve">Respect the right to object to automated decision-making without human intervention — UAE PDPL, Article on data-subject rights relating to automated processing (reviewer to cite article number) (United Arab Emirates)</w:t>
        </w:r>
      </w:hyperlink>
    </w:p>
    <w:p>
      <w:pPr>
        <w:pStyle w:val="Heading2"/>
      </w:pPr>
      <w:bookmarkStart w:id="9" w:name="_Toc10"/>
      <w:r>
        <w:t>Provide routes to contest AI outcomes and seek redress</w:t>
      </w:r>
      <w:bookmarkEnd w:id="9"/>
    </w:p>
    <w:p>
      <w:pPr>
        <w:pStyle w:val="Body"/>
      </w:pPr>
      <w:r>
        <w:rPr/>
        <w:t xml:space="preserve">Affected people should be able to contest harmful AI decisions or outcomes and obtain redress, through existing complaint routes and regulators.</w:t>
      </w:r>
    </w:p>
    <w:p>
      <w:pPr>
        <w:pStyle w:val="Body"/>
      </w:pPr>
      <w:r>
        <w:rPr/>
        <w:t xml:space="preserve">In practice: Add an AI-decision challenge route to customer complaint procedures.</w:t>
      </w:r>
    </w:p>
    <w:p>
      <w:pPr>
        <w:pStyle w:val="Small"/>
      </w:pPr>
      <w:r>
        <w:rPr>
          <w:color w:val="5D6B7E"/>
          <w:sz w:val="18"/>
          <w:szCs w:val="18"/>
          <w:i w:val="1"/>
          <w:iCs w:val="1"/>
        </w:rPr>
        <w:t xml:space="preserve">Evidence a reviewer would expect: Contest and redress procedure.</w:t>
      </w:r>
    </w:p>
    <w:p>
      <w:pPr>
        <w:pStyle w:val="Body"/>
      </w:pPr>
      <w:r>
        <w:rPr>
          <w:color w:val="B45309"/>
          <w:b w:val="1"/>
          <w:bCs w:val="1"/>
        </w:rPr>
        <w:t xml:space="preserve">[PLACEHOLDER: How this agent meets the duty, and who is the human in the loop]</w:t>
      </w:r>
    </w:p>
    <w:p>
      <w:pPr>
        <w:pStyle w:val="Small"/>
      </w:pPr>
      <w:r>
        <w:rPr>
          <w:color w:val="5D6B7E"/>
          <w:sz w:val="18"/>
          <w:szCs w:val="18"/>
        </w:rPr>
        <w:t xml:space="preserve">Source: </w:t>
      </w:r>
      <w:hyperlink r:id="rId14" w:history="1">
        <w:r>
          <w:rPr>
            <w:color w:val="006AAC"/>
            <w:sz w:val="18"/>
            <w:szCs w:val="18"/>
            <w:u w:val="single"/>
          </w:rPr>
          <w:t xml:space="preserve">Provide routes to contest AI outcomes and seek redress — UK AI regulation framework, Principle 5, Part 3 (United Kingdom)</w:t>
        </w:r>
      </w:hyperlink>
    </w:p>
    <w:p>
      <w:pPr>
        <w:pStyle w:val="Heading2"/>
      </w:pPr>
      <w:bookmarkStart w:id="10" w:name="_Toc11"/>
      <w:r>
        <w:t>Apply safeguards to solely automated decisions with significant effects</w:t>
      </w:r>
      <w:bookmarkEnd w:id="10"/>
    </w:p>
    <w:p>
      <w:pPr>
        <w:pStyle w:val="Body"/>
      </w:pPr>
      <w:r>
        <w:rPr/>
        <w:t xml:space="preserve">Individuals have rights in relation to solely automated decisions that produce legal or similarly significant effects, including being told about the decision, obtaining human intervention, and contesting it. The Data (Use and Access) Act 2025 amended these rules; the reviewer must confirm the current wording.</w:t>
      </w:r>
    </w:p>
    <w:p>
      <w:pPr>
        <w:pStyle w:val="Body"/>
      </w:pPr>
      <w:r>
        <w:rPr/>
        <w:t xml:space="preserve">In practice: Map every significant automated decision, add a human-review route and a notice to affected people.</w:t>
      </w:r>
    </w:p>
    <w:p>
      <w:pPr>
        <w:pStyle w:val="Small"/>
      </w:pPr>
      <w:r>
        <w:rPr>
          <w:color w:val="5D6B7E"/>
          <w:sz w:val="18"/>
          <w:szCs w:val="18"/>
          <w:i w:val="1"/>
          <w:iCs w:val="1"/>
        </w:rPr>
        <w:t xml:space="preserve">Evidence a reviewer would expect: Automated decision register and review procedure.</w:t>
      </w:r>
    </w:p>
    <w:p>
      <w:pPr>
        <w:pStyle w:val="Body"/>
      </w:pPr>
      <w:r>
        <w:rPr>
          <w:color w:val="B45309"/>
          <w:b w:val="1"/>
          <w:bCs w:val="1"/>
        </w:rPr>
        <w:t xml:space="preserve">[PLACEHOLDER: How this agent meets the duty, and who is the human in the loop]</w:t>
      </w:r>
    </w:p>
    <w:p>
      <w:pPr>
        <w:pStyle w:val="Small"/>
      </w:pPr>
      <w:r>
        <w:rPr>
          <w:color w:val="5D6B7E"/>
          <w:sz w:val="18"/>
          <w:szCs w:val="18"/>
        </w:rPr>
        <w:t xml:space="preserve">Source: </w:t>
      </w:r>
      <w:hyperlink r:id="rId15" w:history="1">
        <w:r>
          <w:rPr>
            <w:color w:val="006AAC"/>
            <w:sz w:val="18"/>
            <w:szCs w:val="18"/>
            <w:u w:val="single"/>
          </w:rPr>
          <w:t xml:space="preserve">Apply safeguards to solely automated decisions with significant effects — ICO AI guidance, UK GDPR Article 22 as amended by the Data (Use and Access) Act 2025 (United Kingdom)</w:t>
        </w:r>
      </w:hyperlink>
    </w:p>
    <w:sectPr>
      <w:footerReference w:type="default" r:id="rId16"/>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5D6B7E"/>
        <w:sz w:val="16"/>
        <w:szCs w:val="16"/>
      </w:rPr>
      <w:t xml:space="preserve">AI Agent Registry and Permission Matrix · vv1 · aipolicytracker.org · page </w:t>
    </w:r>
    <w:r>
      <w:fldChar w:fldCharType="begin"/>
    </w:r>
    <w:r>
      <w:rPr>
        <w:color w:val="5D6B7E"/>
        <w:sz w:val="16"/>
        <w:szCs w:val="16"/>
      </w:rPr>
      <w:instrText xml:space="preserve">PAGE</w:instrText>
    </w:r>
    <w:r>
      <w:fldChar w:fldCharType="separate"/>
    </w:r>
    <w:r>
      <w:fldChar w:fldCharType="end"/>
    </w:r>
    <w:r>
      <w:rPr>
        <w:color w:val="5D6B7E"/>
        <w:sz w:val="16"/>
        <w:szCs w:val="16"/>
      </w:rPr>
      <w:t xml:space="preserve"> of </w:t>
    </w:r>
    <w:r>
      <w:fldChar w:fldCharType="begin"/>
    </w:r>
    <w:r>
      <w:rPr>
        <w:color w:val="5D6B7E"/>
        <w:sz w:val="16"/>
        <w:szCs w:val="16"/>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Title">
    <w:link w:val="titleChar"/>
    <w:name w:val="title"/>
    <w:basedOn w:val="Normal"/>
    <w:pPr>
      <w:spacing w:after="240"/>
    </w:pPr>
    <w:rPr>
      <w:color w:val="002147"/>
      <w:sz w:val="44"/>
      <w:szCs w:val="44"/>
      <w:b w:val="1"/>
      <w:bCs w:val="1"/>
    </w:rPr>
  </w:style>
  <w:style w:type="paragraph" w:styleId="Heading1">
    <w:link w:val="Heading1Char"/>
    <w:name w:val="heading 1"/>
    <w:basedOn w:val="Normal"/>
    <w:pPr>
      <w:spacing w:before="360" w:after="120"/>
    </w:pPr>
    <w:rPr>
      <w:color w:val="002147"/>
      <w:sz w:val="32"/>
      <w:szCs w:val="32"/>
      <w:b w:val="1"/>
      <w:bCs w:val="1"/>
    </w:rPr>
  </w:style>
  <w:style w:type="paragraph" w:styleId="Heading2">
    <w:link w:val="Heading2Char"/>
    <w:name w:val="heading 2"/>
    <w:basedOn w:val="Normal"/>
    <w:pPr>
      <w:spacing w:before="240" w:after="80"/>
    </w:pPr>
    <w:rPr>
      <w:color w:val="002147"/>
      <w:sz w:val="26"/>
      <w:szCs w:val="26"/>
      <w:b w:val="1"/>
      <w:bCs w:val="1"/>
    </w:rPr>
  </w:style>
  <w:style w:type="paragraph" w:styleId="Heading3">
    <w:link w:val="Heading3Char"/>
    <w:name w:val="heading 3"/>
    <w:basedOn w:val="Normal"/>
    <w:pPr>
      <w:spacing w:before="160" w:after="60"/>
    </w:pPr>
    <w:rPr>
      <w:sz w:val="22"/>
      <w:szCs w:val="22"/>
      <w:b w:val="1"/>
      <w:bCs w:val="1"/>
    </w:rPr>
  </w:style>
  <w:style w:type="paragraph" w:customStyle="1" w:styleId="Body">
    <w:name w:val="Body"/>
    <w:basedOn w:val="Normal"/>
    <w:pPr>
      <w:spacing w:after="120" w:line="276" w:lineRule="auto"/>
    </w:pPr>
  </w:style>
  <w:style w:type="paragraph" w:customStyle="1" w:styleId="Small">
    <w:name w:val="Small"/>
    <w:basedOn w:val="Normal"/>
    <w:pPr>
      <w:spacing w:after="80"/>
    </w:p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BFC7D3"/>
        <w:left w:val="single" w:sz="4" w:color="BFC7D3"/>
        <w:right w:val="single" w:sz="4" w:color="BFC7D3"/>
        <w:bottom w:val="single" w:sz="4" w:color="BFC7D3"/>
        <w:insideH w:val="single" w:sz="4" w:color="BFC7D3"/>
        <w:insideV w:val="single" w:sz="4" w:color="BFC7D3"/>
      </w:tblBorders>
    </w:tblPr>
    <w:tblStylePr w:type="firstRow">
      <w:tcPr>
        <w:tcPr>
          <w:shd w:val="clear" w:fill="E8EDF3"/>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policytracker.org/templates/ai-agent-registry" TargetMode="External"/><Relationship Id="rId8" Type="http://schemas.openxmlformats.org/officeDocument/2006/relationships/hyperlink" Target="https://aipolicytracker.org/obligations/australia-vaiss-testing-human-control-transparency" TargetMode="External"/><Relationship Id="rId9" Type="http://schemas.openxmlformats.org/officeDocument/2006/relationships/hyperlink" Target="https://aipolicytracker.org/obligations/eu-ai-act-human-oversight" TargetMode="External"/><Relationship Id="rId10" Type="http://schemas.openxmlformats.org/officeDocument/2006/relationships/hyperlink" Target="https://aipolicytracker.org/obligations/us-new-york-city-local-law-144-alternative-process-request" TargetMode="External"/><Relationship Id="rId11" Type="http://schemas.openxmlformats.org/officeDocument/2006/relationships/hyperlink" Target="https://aipolicytracker.org/obligations/singapore-mgf-human-involvement" TargetMode="External"/><Relationship Id="rId12" Type="http://schemas.openxmlformats.org/officeDocument/2006/relationships/hyperlink" Target="https://aipolicytracker.org/obligations/south-korea-ai-basic-act-art-34-high-impact-ai-human-oversight" TargetMode="External"/><Relationship Id="rId13" Type="http://schemas.openxmlformats.org/officeDocument/2006/relationships/hyperlink" Target="https://aipolicytracker.org/obligations/uae-pdpl-automated-decision-objection" TargetMode="External"/><Relationship Id="rId14" Type="http://schemas.openxmlformats.org/officeDocument/2006/relationships/hyperlink" Target="https://aipolicytracker.org/obligations/uk-principles-contestability-redress" TargetMode="External"/><Relationship Id="rId15" Type="http://schemas.openxmlformats.org/officeDocument/2006/relationships/hyperlink" Target="https://aipolicytracker.org/obligations/uk-ico-automated-decision-safeguards" TargetMode="Externa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aipolicytracker.org</dc:creator>
  <dc:title>AI Agent Registry and Permission Matrix</dc:title>
  <dc:description>A register for agents that act — with tools, credentials and autonomy — and a permission matrix stating what each may do alone, with approval, or never.</dc:description>
  <dc:subject/>
  <cp:keywords/>
  <cp:category/>
  <cp:lastModifiedBy/>
  <dcterms:created xsi:type="dcterms:W3CDTF">2026-09-26T13:05:06+00:00</dcterms:created>
  <dcterms:modified xsi:type="dcterms:W3CDTF">2026-09-26T13:05:06+00:00</dcterms:modified>
</cp:coreProperties>
</file>

<file path=docProps/custom.xml><?xml version="1.0" encoding="utf-8"?>
<Properties xmlns="http://schemas.openxmlformats.org/officeDocument/2006/custom-properties" xmlns:vt="http://schemas.openxmlformats.org/officeDocument/2006/docPropsVTypes"/>
</file>