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Governance Policy and RACI</w:t>
      </w:r>
    </w:p>
    <w:p>
      <w:pPr>
        <w:pStyle w:val="Body"/>
      </w:pPr>
      <w:r>
        <w:rPr/>
        <w:t xml:space="preserve">The governance policy an AI management system needs, built from the recorded governance duties, with a RACI matrix over every recorded control.</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914895c3103e</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https://aipolicytracker.org/templates/ai-governance-policy-raci</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1. Purpose</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2. Principles</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3. Roles and accountabilities</w:t>
        </w:r>
        <w:r>
          <w:tab/>
        </w:r>
        <w:r>
          <w:fldChar w:fldCharType="begin"/>
        </w:r>
        <w:r>
          <w:instrText xml:space="preserve">PAGEREF 3 \h</w:instrText>
        </w:r>
        <w:r>
          <w:fldChar w:fldCharType="end"/>
        </w:r>
      </w:hyperlink>
    </w:p>
    <w:p>
      <w:pPr>
        <w:tabs>
          <w:tab w:val="right" w:leader="dot" w:pos="9062"/>
        </w:tabs>
      </w:pPr>
      <w:hyperlink w:anchor="_Toc4" w:history="1">
        <w:r>
          <w:rPr>
            <w:sz w:val="20"/>
            <w:szCs w:val="20"/>
          </w:rPr>
          <w:t>4. The controls the organisation operates</w:t>
        </w:r>
        <w:r>
          <w:tab/>
        </w:r>
        <w:r>
          <w:fldChar w:fldCharType="begin"/>
        </w:r>
        <w:r>
          <w:instrText xml:space="preserve">PAGEREF 4 \h</w:instrText>
        </w:r>
        <w:r>
          <w:fldChar w:fldCharType="end"/>
        </w:r>
      </w:hyperlink>
    </w:p>
    <w:p>
      <w:pPr>
        <w:tabs>
          <w:tab w:val="right" w:leader="dot" w:pos="9062"/>
        </w:tabs>
      </w:pPr>
      <w:hyperlink w:anchor="_Toc5" w:history="1">
        <w:r>
          <w:rPr>
            <w:sz w:val="20"/>
            <w:szCs w:val="20"/>
          </w:rPr>
          <w:t>5. Governance duties on record and how each is met</w:t>
        </w:r>
        <w:r>
          <w:tab/>
        </w:r>
        <w:r>
          <w:fldChar w:fldCharType="begin"/>
        </w:r>
        <w:r>
          <w:instrText xml:space="preserve">PAGEREF 5 \h</w:instrText>
        </w:r>
        <w:r>
          <w:fldChar w:fldCharType="end"/>
        </w:r>
      </w:hyperlink>
    </w:p>
    <w:p>
      <w:pPr>
        <w:tabs>
          <w:tab w:val="right" w:leader="dot" w:pos="9062"/>
        </w:tabs>
        <w:ind w:left="200"/>
      </w:pPr>
      <w:hyperlink w:anchor="_Toc6" w:history="1">
        <w:r>
          <w:rPr>
            <w:sz w:val="20"/>
            <w:szCs w:val="20"/>
          </w:rPr>
          <w:t>Establish accountability processes and a risk-management process (guardrails 1 and 2)</w:t>
        </w:r>
        <w:r>
          <w:tab/>
        </w:r>
        <w:r>
          <w:fldChar w:fldCharType="begin"/>
        </w:r>
        <w:r>
          <w:instrText xml:space="preserve">PAGEREF 6 \h</w:instrText>
        </w:r>
        <w:r>
          <w:fldChar w:fldCharType="end"/>
        </w:r>
      </w:hyperlink>
    </w:p>
    <w:p>
      <w:pPr>
        <w:tabs>
          <w:tab w:val="right" w:leader="dot" w:pos="9062"/>
        </w:tabs>
        <w:ind w:left="200"/>
      </w:pPr>
      <w:hyperlink w:anchor="_Toc7" w:history="1">
        <w:r>
          <w:rPr>
            <w:sz w:val="20"/>
            <w:szCs w:val="20"/>
          </w:rPr>
          <w:t>Frontier developers must protect employees who report catastrophic-risk concerns</w:t>
        </w:r>
        <w:r>
          <w:tab/>
        </w:r>
        <w:r>
          <w:fldChar w:fldCharType="begin"/>
        </w:r>
        <w:r>
          <w:instrText xml:space="preserve">PAGEREF 7 \h</w:instrText>
        </w:r>
        <w:r>
          <w:fldChar w:fldCharType="end"/>
        </w:r>
      </w:hyperlink>
    </w:p>
    <w:p>
      <w:pPr>
        <w:tabs>
          <w:tab w:val="right" w:leader="dot" w:pos="9062"/>
        </w:tabs>
        <w:ind w:left="200"/>
      </w:pPr>
      <w:hyperlink w:anchor="_Toc8" w:history="1">
        <w:r>
          <w:rPr>
            <w:sz w:val="20"/>
            <w:szCs w:val="20"/>
          </w:rPr>
          <w:t>Operate a quality management system</w:t>
        </w:r>
        <w:r>
          <w:tab/>
        </w:r>
        <w:r>
          <w:fldChar w:fldCharType="begin"/>
        </w:r>
        <w:r>
          <w:instrText xml:space="preserve">PAGEREF 8 \h</w:instrText>
        </w:r>
        <w:r>
          <w:fldChar w:fldCharType="end"/>
        </w:r>
      </w:hyperlink>
    </w:p>
    <w:p>
      <w:pPr>
        <w:tabs>
          <w:tab w:val="right" w:leader="dot" w:pos="9062"/>
        </w:tabs>
        <w:ind w:left="200"/>
      </w:pPr>
      <w:hyperlink w:anchor="_Toc9" w:history="1">
        <w:r>
          <w:rPr>
            <w:sz w:val="20"/>
            <w:szCs w:val="20"/>
          </w:rPr>
          <w:t>Use high-risk AI as instructed, monitor it and inform affected people</w:t>
        </w:r>
        <w:r>
          <w:tab/>
        </w:r>
        <w:r>
          <w:fldChar w:fldCharType="begin"/>
        </w:r>
        <w:r>
          <w:instrText xml:space="preserve">PAGEREF 9 \h</w:instrText>
        </w:r>
        <w:r>
          <w:fldChar w:fldCharType="end"/>
        </w:r>
      </w:hyperlink>
    </w:p>
    <w:p>
      <w:pPr>
        <w:tabs>
          <w:tab w:val="right" w:leader="dot" w:pos="9062"/>
        </w:tabs>
        <w:ind w:left="200"/>
      </w:pPr>
      <w:hyperlink w:anchor="_Toc10" w:history="1">
        <w:r>
          <w:rPr>
            <w:sz w:val="20"/>
            <w:szCs w:val="20"/>
          </w:rPr>
          <w:t>Providers must meet the full set of provider duties for high-risk AI</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Providers must supply conformity evidence and log access to authorities on request</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Non-EU providers must appoint an EU authorised representative for high-risk AI</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Deployers, distributors and importers must assume provider duties when they rebrand or substantially modify high-risk AI</w:t>
        </w:r>
        <w:r>
          <w:tab/>
        </w:r>
        <w:r>
          <w:fldChar w:fldCharType="begin"/>
        </w:r>
        <w:r>
          <w:instrText xml:space="preserve">PAGEREF 13 \h</w:instrText>
        </w:r>
        <w:r>
          <w:fldChar w:fldCharType="end"/>
        </w:r>
      </w:hyperlink>
    </w:p>
    <w:p>
      <w:pPr>
        <w:tabs>
          <w:tab w:val="right" w:leader="dot" w:pos="9062"/>
        </w:tabs>
        <w:ind w:left="200"/>
      </w:pPr>
      <w:hyperlink w:anchor="_Toc14" w:history="1">
        <w:r>
          <w:rPr>
            <w:sz w:val="20"/>
            <w:szCs w:val="20"/>
          </w:rPr>
          <w:t>Law-enforcement deployers must obtain authorisation for post-remote biometric identification and report annually</w:t>
        </w:r>
        <w:r>
          <w:tab/>
        </w:r>
        <w:r>
          <w:fldChar w:fldCharType="begin"/>
        </w:r>
        <w:r>
          <w:instrText xml:space="preserve">PAGEREF 14 \h</w:instrText>
        </w:r>
        <w:r>
          <w:fldChar w:fldCharType="end"/>
        </w:r>
      </w:hyperlink>
    </w:p>
    <w:p>
      <w:pPr>
        <w:tabs>
          <w:tab w:val="right" w:leader="dot" w:pos="9062"/>
        </w:tabs>
        <w:ind w:left="200"/>
      </w:pPr>
      <w:hyperlink w:anchor="_Toc15" w:history="1">
        <w:r>
          <w:rPr>
            <w:sz w:val="20"/>
            <w:szCs w:val="20"/>
          </w:rPr>
          <w:t>Providers of GPAI models must notify the Commission within two weeks of meeting the systemic-risk threshold</w:t>
        </w:r>
        <w:r>
          <w:tab/>
        </w:r>
        <w:r>
          <w:fldChar w:fldCharType="begin"/>
        </w:r>
        <w:r>
          <w:instrText xml:space="preserve">PAGEREF 15 \h</w:instrText>
        </w:r>
        <w:r>
          <w:fldChar w:fldCharType="end"/>
        </w:r>
      </w:hyperlink>
    </w:p>
    <w:p>
      <w:pPr>
        <w:tabs>
          <w:tab w:val="right" w:leader="dot" w:pos="9062"/>
        </w:tabs>
        <w:ind w:left="200"/>
      </w:pPr>
      <w:hyperlink w:anchor="_Toc16" w:history="1">
        <w:r>
          <w:rPr>
            <w:sz w:val="20"/>
            <w:szCs w:val="20"/>
          </w:rPr>
          <w:t>Non-EU providers of GPAI models must appoint an EU authorised representative</w:t>
        </w:r>
        <w:r>
          <w:tab/>
        </w:r>
        <w:r>
          <w:fldChar w:fldCharType="begin"/>
        </w:r>
        <w:r>
          <w:instrText xml:space="preserve">PAGEREF 16 \h</w:instrText>
        </w:r>
        <w:r>
          <w:fldChar w:fldCharType="end"/>
        </w:r>
      </w:hyperlink>
    </w:p>
    <w:p>
      <w:pPr>
        <w:tabs>
          <w:tab w:val="right" w:leader="dot" w:pos="9062"/>
        </w:tabs>
        <w:ind w:left="200"/>
      </w:pPr>
      <w:hyperlink w:anchor="_Toc17" w:history="1">
        <w:r>
          <w:rPr>
            <w:sz w:val="20"/>
            <w:szCs w:val="20"/>
          </w:rPr>
          <w:t>Adopt the guiding principles and risk-based governance (voluntary)</w:t>
        </w:r>
        <w:r>
          <w:tab/>
        </w:r>
        <w:r>
          <w:fldChar w:fldCharType="begin"/>
        </w:r>
        <w:r>
          <w:instrText xml:space="preserve">PAGEREF 17 \h</w:instrText>
        </w:r>
        <w:r>
          <w:fldChar w:fldCharType="end"/>
        </w:r>
      </w:hyperlink>
    </w:p>
    <w:p>
      <w:pPr>
        <w:tabs>
          <w:tab w:val="right" w:leader="dot" w:pos="9062"/>
        </w:tabs>
        <w:ind w:left="200"/>
      </w:pPr>
      <w:hyperlink w:anchor="_Toc18" w:history="1">
        <w:r>
          <w:rPr>
            <w:sz w:val="20"/>
            <w:szCs w:val="20"/>
          </w:rPr>
          <w:t>Government bodies to promote ethical, responsible and inclusive AI (policy commitment)</w:t>
        </w:r>
        <w:r>
          <w:tab/>
        </w:r>
        <w:r>
          <w:fldChar w:fldCharType="begin"/>
        </w:r>
        <w:r>
          <w:instrText xml:space="preserve">PAGEREF 18 \h</w:instrText>
        </w:r>
        <w:r>
          <w:fldChar w:fldCharType="end"/>
        </w:r>
      </w:hyperlink>
    </w:p>
    <w:p>
      <w:pPr>
        <w:tabs>
          <w:tab w:val="right" w:leader="dot" w:pos="9062"/>
        </w:tabs>
        <w:ind w:left="200"/>
      </w:pPr>
      <w:hyperlink w:anchor="_Toc19" w:history="1">
        <w:r>
          <w:rPr>
            <w:sz w:val="20"/>
            <w:szCs w:val="20"/>
          </w:rPr>
          <w:t>Establish internal governance structures and measures for AI</w:t>
        </w:r>
        <w:r>
          <w:tab/>
        </w:r>
        <w:r>
          <w:fldChar w:fldCharType="begin"/>
        </w:r>
        <w:r>
          <w:instrText xml:space="preserve">PAGEREF 19 \h</w:instrText>
        </w:r>
        <w:r>
          <w:fldChar w:fldCharType="end"/>
        </w:r>
      </w:hyperlink>
    </w:p>
    <w:p>
      <w:pPr>
        <w:tabs>
          <w:tab w:val="right" w:leader="dot" w:pos="9062"/>
        </w:tabs>
        <w:ind w:left="200"/>
      </w:pPr>
      <w:hyperlink w:anchor="_Toc20" w:history="1">
        <w:r>
          <w:rPr>
            <w:sz w:val="20"/>
            <w:szCs w:val="20"/>
          </w:rPr>
          <w:t>Operators of high-impact AI must prepare user-protection measures and keep records of their safety and trust measures</w:t>
        </w:r>
        <w:r>
          <w:tab/>
        </w:r>
        <w:r>
          <w:fldChar w:fldCharType="begin"/>
        </w:r>
        <w:r>
          <w:instrText xml:space="preserve">PAGEREF 20 \h</w:instrText>
        </w:r>
        <w:r>
          <w:fldChar w:fldCharType="end"/>
        </w:r>
      </w:hyperlink>
    </w:p>
    <w:p>
      <w:pPr>
        <w:tabs>
          <w:tab w:val="right" w:leader="dot" w:pos="9062"/>
        </w:tabs>
        <w:ind w:left="200"/>
      </w:pPr>
      <w:hyperlink w:anchor="_Toc21" w:history="1">
        <w:r>
          <w:rPr>
            <w:sz w:val="20"/>
            <w:szCs w:val="20"/>
          </w:rPr>
          <w:t>Foreign AI business operators above the threshold must designate a domestic representative in Korea</w:t>
        </w:r>
        <w:r>
          <w:tab/>
        </w:r>
        <w:r>
          <w:fldChar w:fldCharType="begin"/>
        </w:r>
        <w:r>
          <w:instrText xml:space="preserve">PAGEREF 21 \h</w:instrText>
        </w:r>
        <w:r>
          <w:fldChar w:fldCharType="end"/>
        </w:r>
      </w:hyperlink>
    </w:p>
    <w:p>
      <w:pPr>
        <w:tabs>
          <w:tab w:val="right" w:leader="dot" w:pos="9062"/>
        </w:tabs>
        <w:ind w:left="200"/>
      </w:pPr>
      <w:hyperlink w:anchor="_Toc22" w:history="1">
        <w:r>
          <w:rPr>
            <w:sz w:val="20"/>
            <w:szCs w:val="20"/>
          </w:rPr>
          <w:t>Government commitment to AI ethics, governance and regulation (strategy objective)</w:t>
        </w:r>
        <w:r>
          <w:tab/>
        </w:r>
        <w:r>
          <w:fldChar w:fldCharType="begin"/>
        </w:r>
        <w:r>
          <w:instrText xml:space="preserve">PAGEREF 22 \h</w:instrText>
        </w:r>
        <w:r>
          <w:fldChar w:fldCharType="end"/>
        </w:r>
      </w:hyperlink>
    </w:p>
    <w:p>
      <w:pPr>
        <w:tabs>
          <w:tab w:val="right" w:leader="dot" w:pos="9062"/>
        </w:tabs>
        <w:ind w:left="200"/>
      </w:pPr>
      <w:hyperlink w:anchor="_Toc23" w:history="1">
        <w:r>
          <w:rPr>
            <w:sz w:val="20"/>
            <w:szCs w:val="20"/>
          </w:rPr>
          <w:t>Use AI in ways that are fair and do not discriminate unlawfully</w:t>
        </w:r>
        <w:r>
          <w:tab/>
        </w:r>
        <w:r>
          <w:fldChar w:fldCharType="begin"/>
        </w:r>
        <w:r>
          <w:instrText xml:space="preserve">PAGEREF 23 \h</w:instrText>
        </w:r>
        <w:r>
          <w:fldChar w:fldCharType="end"/>
        </w:r>
      </w:hyperlink>
    </w:p>
    <w:p>
      <w:pPr>
        <w:tabs>
          <w:tab w:val="right" w:leader="dot" w:pos="9062"/>
        </w:tabs>
        <w:ind w:left="200"/>
      </w:pPr>
      <w:hyperlink w:anchor="_Toc24" w:history="1">
        <w:r>
          <w:rPr>
            <w:sz w:val="20"/>
            <w:szCs w:val="20"/>
          </w:rPr>
          <w:t>Establish accountability and governance for AI</w:t>
        </w:r>
        <w:r>
          <w:tab/>
        </w:r>
        <w:r>
          <w:fldChar w:fldCharType="begin"/>
        </w:r>
        <w:r>
          <w:instrText xml:space="preserve">PAGEREF 24 \h</w:instrText>
        </w:r>
        <w:r>
          <w:fldChar w:fldCharType="end"/>
        </w:r>
      </w:hyperlink>
    </w:p>
    <w:p>
      <w:pPr>
        <w:tabs>
          <w:tab w:val="right" w:leader="dot" w:pos="9062"/>
        </w:tabs>
        <w:ind w:left="200"/>
      </w:pPr>
      <w:hyperlink w:anchor="_Toc25" w:history="1">
        <w:r>
          <w:rPr>
            <w:sz w:val="20"/>
            <w:szCs w:val="20"/>
          </w:rPr>
          <w:t>Establish AI governance policies, roles and accountability (Govern)</w:t>
        </w:r>
        <w:r>
          <w:tab/>
        </w:r>
        <w:r>
          <w:fldChar w:fldCharType="begin"/>
        </w:r>
        <w:r>
          <w:instrText xml:space="preserve">PAGEREF 25 \h</w:instrText>
        </w:r>
        <w:r>
          <w:fldChar w:fldCharType="end"/>
        </w:r>
      </w:hyperlink>
    </w:p>
    <w:p>
      <w:pPr>
        <w:tabs>
          <w:tab w:val="right" w:leader="dot" w:pos="9062"/>
        </w:tabs>
      </w:pPr>
      <w:hyperlink w:anchor="_Toc26" w:history="1">
        <w:r>
          <w:rPr>
            <w:sz w:val="20"/>
            <w:szCs w:val="20"/>
          </w:rPr>
          <w:t>6. Review</w:t>
        </w:r>
        <w:r>
          <w:tab/>
        </w:r>
        <w:r>
          <w:fldChar w:fldCharType="begin"/>
        </w:r>
        <w:r>
          <w:instrText xml:space="preserve">PAGEREF 26 \h</w:instrText>
        </w:r>
        <w:r>
          <w:fldChar w:fldCharType="end"/>
        </w:r>
      </w:hyperlink>
    </w:p>
    <w:p>
      <w:r>
        <w:fldChar w:fldCharType="end"/>
      </w:r>
    </w:p>
    <w:p>
      <w:r>
        <w:br w:type="page"/>
      </w:r>
    </w:p>
    <w:p>
      <w:pPr>
        <w:pStyle w:val="Heading1"/>
      </w:pPr>
      <w:bookmarkStart w:id="0" w:name="_Toc1"/>
      <w:r>
        <w:t>1. Purpose</w:t>
      </w:r>
      <w:bookmarkEnd w:id="0"/>
    </w:p>
    <w:p>
      <w:pPr>
        <w:pStyle w:val="Body"/>
      </w:pPr>
      <w:r>
        <w:rPr/>
        <w:t xml:space="preserve">This policy establishes how the organisation governs its use of AI: who is accountable, what principles apply, which controls are operated, and how the governance duties on record are met.</w:t>
      </w:r>
    </w:p>
    <w:p>
      <w:pPr>
        <w:pStyle w:val="Body"/>
      </w:pPr>
      <w:r>
        <w:rPr>
          <w:color w:val="B45309"/>
          <w:b w:val="1"/>
          <w:bCs w:val="1"/>
        </w:rPr>
        <w:t xml:space="preserve">[PLACEHOLDER: Organisation, scope, effective date]</w:t>
      </w:r>
    </w:p>
    <w:p>
      <w:pPr>
        <w:pStyle w:val="Heading1"/>
      </w:pPr>
      <w:bookmarkStart w:id="1" w:name="_Toc2"/>
      <w:r>
        <w:t>2. Principles</w:t>
      </w:r>
      <w:bookmarkEnd w:id="1"/>
    </w:p>
    <w:p>
      <w:pPr>
        <w:pStyle w:val="Body"/>
      </w:pPr>
      <w:r>
        <w:rPr>
          <w:color w:val="B45309"/>
          <w:b w:val="1"/>
          <w:bCs w:val="1"/>
        </w:rPr>
        <w:t xml:space="preserve">[PLACEHOLDER: The principles the organisation commits to (lawfulness, safety, transparency, fairness, accountability, human oversight), in its own words]</w:t>
      </w:r>
    </w:p>
    <w:p>
      <w:pPr>
        <w:pStyle w:val="Heading1"/>
      </w:pPr>
      <w:bookmarkStart w:id="2" w:name="_Toc3"/>
      <w:r>
        <w:t>3. Roles and accountabilities</w:t>
      </w:r>
      <w:bookmarkEnd w:id="2"/>
    </w:p>
    <w:p>
      <w:pPr>
        <w:pStyle w:val="Body"/>
      </w:pPr>
      <w:r>
        <w:rPr/>
        <w:t xml:space="preserve">The RACI sheet assigns every recorded control to the roles below. Exactly one role is accountable for each control.</w:t>
      </w:r>
    </w:p>
    <w:tbl>
      <w:tblGrid>
        <w:gridCol w:w="4800" w:type="dxa"/>
        <w:gridCol w:w="4800" w:type="dxa"/>
      </w:tblGrid>
      <w:tblPr>
        <w:tblStyle w:val="Grid"/>
      </w:tblPr>
      <w:tr>
        <w:trPr>
          <w:tblHeader w:val="1"/>
        </w:trPr>
        <w:tc>
          <w:tcPr>
            <w:tcW w:w="4800" w:type="dxa"/>
            <w:shd w:val="clear" w:fill="E8EDF3"/>
            <w:noWrap/>
          </w:tcPr>
          <w:p>
            <w:pPr/>
            <w:r>
              <w:rPr>
                <w:sz w:val="18"/>
                <w:szCs w:val="18"/>
                <w:b w:val="1"/>
                <w:bCs w:val="1"/>
              </w:rPr>
              <w:t xml:space="preserve">Role</w:t>
            </w:r>
          </w:p>
        </w:tc>
        <w:tc>
          <w:tcPr>
            <w:tcW w:w="4800" w:type="dxa"/>
            <w:shd w:val="clear" w:fill="E8EDF3"/>
            <w:noWrap/>
          </w:tcPr>
          <w:p>
            <w:pPr/>
            <w:r>
              <w:rPr>
                <w:sz w:val="18"/>
                <w:szCs w:val="18"/>
                <w:b w:val="1"/>
                <w:bCs w:val="1"/>
              </w:rPr>
              <w:t xml:space="preserve">Accountability</w:t>
            </w:r>
          </w:p>
        </w:tc>
      </w:tr>
      <w:tr>
        <w:trPr/>
        <w:tc>
          <w:tcPr>
            <w:tcW w:w="4800" w:type="dxa"/>
            <w:noWrap/>
          </w:tcPr>
          <w:p>
            <w:pPr/>
            <w:r>
              <w:rPr>
                <w:sz w:val="18"/>
                <w:szCs w:val="18"/>
              </w:rPr>
              <w:t xml:space="preserve">Board</w:t>
            </w:r>
          </w:p>
        </w:tc>
        <w:tc>
          <w:tcPr>
            <w:tcW w:w="4800" w:type="dxa"/>
            <w:noWrap/>
          </w:tcPr>
          <w:p>
            <w:pPr/>
            <w:r>
              <w:rPr>
                <w:sz w:val="18"/>
                <w:szCs w:val="18"/>
              </w:rPr>
              <w:t xml:space="preserve"/>
            </w:r>
          </w:p>
        </w:tc>
      </w:tr>
      <w:tr>
        <w:trPr/>
        <w:tc>
          <w:tcPr>
            <w:tcW w:w="4800" w:type="dxa"/>
            <w:noWrap/>
          </w:tcPr>
          <w:p>
            <w:pPr/>
            <w:r>
              <w:rPr>
                <w:sz w:val="18"/>
                <w:szCs w:val="18"/>
              </w:rPr>
              <w:t xml:space="preserve">Executive sponsor</w:t>
            </w:r>
          </w:p>
        </w:tc>
        <w:tc>
          <w:tcPr>
            <w:tcW w:w="4800" w:type="dxa"/>
            <w:noWrap/>
          </w:tcPr>
          <w:p>
            <w:pPr/>
            <w:r>
              <w:rPr>
                <w:sz w:val="18"/>
                <w:szCs w:val="18"/>
              </w:rPr>
              <w:t xml:space="preserve"/>
            </w:r>
          </w:p>
        </w:tc>
      </w:tr>
      <w:tr>
        <w:trPr/>
        <w:tc>
          <w:tcPr>
            <w:tcW w:w="4800" w:type="dxa"/>
            <w:noWrap/>
          </w:tcPr>
          <w:p>
            <w:pPr/>
            <w:r>
              <w:rPr>
                <w:sz w:val="18"/>
                <w:szCs w:val="18"/>
              </w:rPr>
              <w:t xml:space="preserve">AI governance lead</w:t>
            </w:r>
          </w:p>
        </w:tc>
        <w:tc>
          <w:tcPr>
            <w:tcW w:w="4800" w:type="dxa"/>
            <w:noWrap/>
          </w:tcPr>
          <w:p>
            <w:pPr/>
            <w:r>
              <w:rPr>
                <w:sz w:val="18"/>
                <w:szCs w:val="18"/>
              </w:rPr>
              <w:t xml:space="preserve"/>
            </w:r>
          </w:p>
        </w:tc>
      </w:tr>
      <w:tr>
        <w:trPr/>
        <w:tc>
          <w:tcPr>
            <w:tcW w:w="4800" w:type="dxa"/>
            <w:noWrap/>
          </w:tcPr>
          <w:p>
            <w:pPr/>
            <w:r>
              <w:rPr>
                <w:sz w:val="18"/>
                <w:szCs w:val="18"/>
              </w:rPr>
              <w:t xml:space="preserve">Product owner</w:t>
            </w:r>
          </w:p>
        </w:tc>
        <w:tc>
          <w:tcPr>
            <w:tcW w:w="4800" w:type="dxa"/>
            <w:noWrap/>
          </w:tcPr>
          <w:p>
            <w:pPr/>
            <w:r>
              <w:rPr>
                <w:sz w:val="18"/>
                <w:szCs w:val="18"/>
              </w:rPr>
              <w:t xml:space="preserve"/>
            </w:r>
          </w:p>
        </w:tc>
      </w:tr>
      <w:tr>
        <w:trPr/>
        <w:tc>
          <w:tcPr>
            <w:tcW w:w="4800" w:type="dxa"/>
            <w:noWrap/>
          </w:tcPr>
          <w:p>
            <w:pPr/>
            <w:r>
              <w:rPr>
                <w:sz w:val="18"/>
                <w:szCs w:val="18"/>
              </w:rPr>
              <w:t xml:space="preserve">Engineering lead</w:t>
            </w:r>
          </w:p>
        </w:tc>
        <w:tc>
          <w:tcPr>
            <w:tcW w:w="4800" w:type="dxa"/>
            <w:noWrap/>
          </w:tcPr>
          <w:p>
            <w:pPr/>
            <w:r>
              <w:rPr>
                <w:sz w:val="18"/>
                <w:szCs w:val="18"/>
              </w:rPr>
              <w:t xml:space="preserve"/>
            </w:r>
          </w:p>
        </w:tc>
      </w:tr>
      <w:tr>
        <w:trPr/>
        <w:tc>
          <w:tcPr>
            <w:tcW w:w="4800" w:type="dxa"/>
            <w:noWrap/>
          </w:tcPr>
          <w:p>
            <w:pPr/>
            <w:r>
              <w:rPr>
                <w:sz w:val="18"/>
                <w:szCs w:val="18"/>
              </w:rPr>
              <w:t xml:space="preserve">Legal and compliance</w:t>
            </w:r>
          </w:p>
        </w:tc>
        <w:tc>
          <w:tcPr>
            <w:tcW w:w="4800" w:type="dxa"/>
            <w:noWrap/>
          </w:tcPr>
          <w:p>
            <w:pPr/>
            <w:r>
              <w:rPr>
                <w:sz w:val="18"/>
                <w:szCs w:val="18"/>
              </w:rPr>
              <w:t xml:space="preserve"/>
            </w:r>
          </w:p>
        </w:tc>
      </w:tr>
      <w:tr>
        <w:trPr/>
        <w:tc>
          <w:tcPr>
            <w:tcW w:w="4800" w:type="dxa"/>
            <w:noWrap/>
          </w:tcPr>
          <w:p>
            <w:pPr/>
            <w:r>
              <w:rPr>
                <w:sz w:val="18"/>
                <w:szCs w:val="18"/>
              </w:rPr>
              <w:t xml:space="preserve">Security</w:t>
            </w:r>
          </w:p>
        </w:tc>
        <w:tc>
          <w:tcPr>
            <w:tcW w:w="4800" w:type="dxa"/>
            <w:noWrap/>
          </w:tcPr>
          <w:p>
            <w:pPr/>
            <w:r>
              <w:rPr>
                <w:sz w:val="18"/>
                <w:szCs w:val="18"/>
              </w:rPr>
              <w:t xml:space="preserve"/>
            </w:r>
          </w:p>
        </w:tc>
      </w:tr>
      <w:tr>
        <w:trPr/>
        <w:tc>
          <w:tcPr>
            <w:tcW w:w="4800" w:type="dxa"/>
            <w:noWrap/>
          </w:tcPr>
          <w:p>
            <w:pPr/>
            <w:r>
              <w:rPr>
                <w:sz w:val="18"/>
                <w:szCs w:val="18"/>
              </w:rPr>
              <w:t xml:space="preserve">Data protection</w:t>
            </w:r>
          </w:p>
        </w:tc>
        <w:tc>
          <w:tcPr>
            <w:tcW w:w="4800" w:type="dxa"/>
            <w:noWrap/>
          </w:tcPr>
          <w:p>
            <w:pPr/>
            <w:r>
              <w:rPr>
                <w:sz w:val="18"/>
                <w:szCs w:val="18"/>
              </w:rPr>
              <w:t xml:space="preserve"/>
            </w:r>
          </w:p>
        </w:tc>
      </w:tr>
    </w:tbl>
    <w:p/>
    <w:p>
      <w:pPr>
        <w:pStyle w:val="Body"/>
      </w:pPr>
      <w:r>
        <w:rPr>
          <w:color w:val="B45309"/>
          <w:b w:val="1"/>
          <w:bCs w:val="1"/>
        </w:rPr>
        <w:t xml:space="preserve">[PLACEHOLDER: Name the holders of each role and how they report]</w:t>
      </w:r>
    </w:p>
    <w:p>
      <w:pPr>
        <w:pStyle w:val="Heading1"/>
      </w:pPr>
      <w:bookmarkStart w:id="3" w:name="_Toc4"/>
      <w:r>
        <w:t>4. The controls the organisation operates</w:t>
      </w:r>
      <w:bookmarkEnd w:id="3"/>
    </w:p>
    <w:tbl>
      <w:tblGrid>
        <w:gridCol w:w="2400" w:type="dxa"/>
        <w:gridCol w:w="2400" w:type="dxa"/>
        <w:gridCol w:w="2400" w:type="dxa"/>
        <w:gridCol w:w="2400" w:type="dxa"/>
      </w:tblGrid>
      <w:tblPr>
        <w:tblStyle w:val="Grid"/>
      </w:tblPr>
      <w:tr>
        <w:trPr>
          <w:tblHeader w:val="1"/>
        </w:trPr>
        <w:tc>
          <w:tcPr>
            <w:tcW w:w="2400" w:type="dxa"/>
            <w:shd w:val="clear" w:fill="E8EDF3"/>
            <w:noWrap/>
          </w:tcPr>
          <w:p>
            <w:pPr/>
            <w:r>
              <w:rPr>
                <w:sz w:val="18"/>
                <w:szCs w:val="18"/>
                <w:b w:val="1"/>
                <w:bCs w:val="1"/>
              </w:rPr>
              <w:t xml:space="preserve">Control</w:t>
            </w:r>
          </w:p>
        </w:tc>
        <w:tc>
          <w:tcPr>
            <w:tcW w:w="2400" w:type="dxa"/>
            <w:shd w:val="clear" w:fill="E8EDF3"/>
            <w:noWrap/>
          </w:tcPr>
          <w:p>
            <w:pPr/>
            <w:r>
              <w:rPr>
                <w:sz w:val="18"/>
                <w:szCs w:val="18"/>
                <w:b w:val="1"/>
                <w:bCs w:val="1"/>
              </w:rPr>
              <w:t xml:space="preserve">Purpose</w:t>
            </w:r>
          </w:p>
        </w:tc>
        <w:tc>
          <w:tcPr>
            <w:tcW w:w="2400" w:type="dxa"/>
            <w:shd w:val="clear" w:fill="E8EDF3"/>
            <w:noWrap/>
          </w:tcPr>
          <w:p>
            <w:pPr/>
            <w:r>
              <w:rPr>
                <w:sz w:val="18"/>
                <w:szCs w:val="18"/>
                <w:b w:val="1"/>
                <w:bCs w:val="1"/>
              </w:rPr>
              <w:t xml:space="preserve">Owner</w:t>
            </w:r>
          </w:p>
        </w:tc>
        <w:tc>
          <w:tcPr>
            <w:tcW w:w="2400" w:type="dxa"/>
            <w:shd w:val="clear" w:fill="E8EDF3"/>
            <w:noWrap/>
          </w:tcPr>
          <w:p>
            <w:pPr/>
            <w:r>
              <w:rPr>
                <w:sz w:val="18"/>
                <w:szCs w:val="18"/>
                <w:b w:val="1"/>
                <w:bCs w:val="1"/>
              </w:rPr>
              <w:t xml:space="preserve">Frequency</w:t>
            </w:r>
          </w:p>
        </w:tc>
      </w:tr>
      <w:tr>
        <w:trPr/>
        <w:tc>
          <w:tcPr>
            <w:tcW w:w="2400" w:type="dxa"/>
            <w:noWrap/>
          </w:tcPr>
          <w:p>
            <w:pPr/>
            <w:r>
              <w:rPr>
                <w:sz w:val="18"/>
                <w:szCs w:val="18"/>
              </w:rPr>
              <w:t xml:space="preserve">AI governance policy and accountability structure</w:t>
            </w:r>
          </w:p>
        </w:tc>
        <w:tc>
          <w:tcPr>
            <w:tcW w:w="2400" w:type="dxa"/>
            <w:noWrap/>
          </w:tcPr>
          <w:p>
            <w:pPr/>
            <w:r>
              <w:rPr>
                <w:sz w:val="18"/>
                <w:szCs w:val="18"/>
              </w:rPr>
              <w:t xml:space="preserve">Gives the organisation a single approved statement of how it will develop, buy and use AI, and names the people who are answerable for it, so that every other AI control has a mandate and an owner.
</w:t>
            </w:r>
          </w:p>
        </w:tc>
        <w:tc>
          <w:tcPr>
            <w:tcW w:w="2400" w:type="dxa"/>
            <w:noWrap/>
          </w:tcPr>
          <w:p>
            <w:pPr/>
            <w:r>
              <w:rPr>
                <w:sz w:val="18"/>
                <w:szCs w:val="18"/>
              </w:rPr>
              <w:t xml:space="preserve">Executive sponsor for AI</w:t>
            </w:r>
          </w:p>
        </w:tc>
        <w:tc>
          <w:tcPr>
            <w:tcW w:w="2400" w:type="dxa"/>
            <w:noWrap/>
          </w:tcPr>
          <w:p>
            <w:pPr/>
            <w:r>
              <w:rPr>
                <w:sz w:val="18"/>
                <w:szCs w:val="18"/>
              </w:rPr>
              <w:t xml:space="preserve">annual</w:t>
            </w:r>
          </w:p>
        </w:tc>
      </w:tr>
      <w:tr>
        <w:trPr/>
        <w:tc>
          <w:tcPr>
            <w:tcW w:w="2400" w:type="dxa"/>
            <w:noWrap/>
          </w:tcPr>
          <w:p>
            <w:pPr/>
            <w:r>
              <w:rPr>
                <w:sz w:val="18"/>
                <w:szCs w:val="18"/>
              </w:rPr>
              <w:t xml:space="preserve">AI impact and fundamental-rights impact assessment</w:t>
            </w:r>
          </w:p>
        </w:tc>
        <w:tc>
          <w:tcPr>
            <w:tcW w:w="2400" w:type="dxa"/>
            <w:noWrap/>
          </w:tcPr>
          <w:p>
            <w:pPr/>
            <w:r>
              <w:rPr>
                <w:sz w:val="18"/>
                <w:szCs w:val="18"/>
              </w:rPr>
              <w:t xml:space="preserve">Examines how a planned AI use will affect the people, groups and communities it touches, with particular attention to discrimination and rights, and records the mitigations chosen before the system goes live.
</w:t>
            </w:r>
          </w:p>
        </w:tc>
        <w:tc>
          <w:tcPr>
            <w:tcW w:w="2400" w:type="dxa"/>
            <w:noWrap/>
          </w:tcPr>
          <w:p>
            <w:pPr/>
            <w:r>
              <w:rPr>
                <w:sz w:val="18"/>
                <w:szCs w:val="18"/>
              </w:rPr>
              <w:t xml:space="preserve">AI system owner</w:t>
            </w:r>
          </w:p>
        </w:tc>
        <w:tc>
          <w:tcPr>
            <w:tcW w:w="2400" w:type="dxa"/>
            <w:noWrap/>
          </w:tcPr>
          <w:p>
            <w:pPr/>
            <w:r>
              <w:rPr>
                <w:sz w:val="18"/>
                <w:szCs w:val="18"/>
              </w:rPr>
              <w:t xml:space="preserve">per_system</w:t>
            </w:r>
          </w:p>
        </w:tc>
      </w:tr>
      <w:tr>
        <w:trPr/>
        <w:tc>
          <w:tcPr>
            <w:tcW w:w="2400" w:type="dxa"/>
            <w:noWrap/>
          </w:tcPr>
          <w:p>
            <w:pPr/>
            <w:r>
              <w:rPr>
                <w:sz w:val="18"/>
                <w:szCs w:val="18"/>
              </w:rPr>
              <w:t xml:space="preserve">AI incident management and regulatory reporting</w:t>
            </w:r>
          </w:p>
        </w:tc>
        <w:tc>
          <w:tcPr>
            <w:tcW w:w="2400" w:type="dxa"/>
            <w:noWrap/>
          </w:tcPr>
          <w:p>
            <w:pPr/>
            <w:r>
              <w:rPr>
                <w:sz w:val="18"/>
                <w:szCs w:val="18"/>
              </w:rPr>
              <w:t xml:space="preserve">Ensures that harm or near-harm caused by an AI system is detected, contained, investigated and, where a rule requires it, reported to the right authority and affected people within the applicable time limit.
</w:t>
            </w:r>
          </w:p>
        </w:tc>
        <w:tc>
          <w:tcPr>
            <w:tcW w:w="2400" w:type="dxa"/>
            <w:noWrap/>
          </w:tcPr>
          <w:p>
            <w:pPr/>
            <w:r>
              <w:rPr>
                <w:sz w:val="18"/>
                <w:szCs w:val="18"/>
              </w:rPr>
              <w:t xml:space="preserve">Incident coordinator</w:t>
            </w:r>
          </w:p>
        </w:tc>
        <w:tc>
          <w:tcPr>
            <w:tcW w:w="2400" w:type="dxa"/>
            <w:noWrap/>
          </w:tcPr>
          <w:p>
            <w:pPr/>
            <w:r>
              <w:rPr>
                <w:sz w:val="18"/>
                <w:szCs w:val="18"/>
              </w:rPr>
              <w:t xml:space="preserve">continuous</w:t>
            </w:r>
          </w:p>
        </w:tc>
      </w:tr>
      <w:tr>
        <w:trPr/>
        <w:tc>
          <w:tcPr>
            <w:tcW w:w="2400" w:type="dxa"/>
            <w:noWrap/>
          </w:tcPr>
          <w:p>
            <w:pPr/>
            <w:r>
              <w:rPr>
                <w:sz w:val="18"/>
                <w:szCs w:val="18"/>
              </w:rPr>
              <w:t xml:space="preserve">AI interaction and use disclosure notices</w:t>
            </w:r>
          </w:p>
        </w:tc>
        <w:tc>
          <w:tcPr>
            <w:tcW w:w="2400" w:type="dxa"/>
            <w:noWrap/>
          </w:tcPr>
          <w:p>
            <w:pPr/>
            <w:r>
              <w:rPr>
                <w:sz w:val="18"/>
                <w:szCs w:val="18"/>
              </w:rPr>
              <w:t xml:space="preserve">Tells people, in plain language and at the right moment, that they are interacting with an AI system, that AI is being used in a decision about them or that their data feeds an AI system.
</w:t>
            </w:r>
          </w:p>
        </w:tc>
        <w:tc>
          <w:tcPr>
            <w:tcW w:w="2400" w:type="dxa"/>
            <w:noWrap/>
          </w:tcPr>
          <w:p>
            <w:pPr/>
            <w:r>
              <w:rPr>
                <w:sz w:val="18"/>
                <w:szCs w:val="18"/>
              </w:rPr>
              <w:t xml:space="preserve">Product owner</w:t>
            </w:r>
          </w:p>
        </w:tc>
        <w:tc>
          <w:tcPr>
            <w:tcW w:w="2400" w:type="dxa"/>
            <w:noWrap/>
          </w:tcPr>
          <w:p>
            <w:pPr/>
            <w:r>
              <w:rPr>
                <w:sz w:val="18"/>
                <w:szCs w:val="18"/>
              </w:rPr>
              <w:t xml:space="preserve">on_material_change</w:t>
            </w:r>
          </w:p>
        </w:tc>
      </w:tr>
      <w:tr>
        <w:trPr/>
        <w:tc>
          <w:tcPr>
            <w:tcW w:w="2400" w:type="dxa"/>
            <w:noWrap/>
          </w:tcPr>
          <w:p>
            <w:pPr/>
            <w:r>
              <w:rPr>
                <w:sz w:val="18"/>
                <w:szCs w:val="18"/>
              </w:rPr>
              <w:t xml:space="preserve">AI literacy and role-based training programme</w:t>
            </w:r>
          </w:p>
        </w:tc>
        <w:tc>
          <w:tcPr>
            <w:tcW w:w="2400" w:type="dxa"/>
            <w:noWrap/>
          </w:tcPr>
          <w:p>
            <w:pPr/>
            <w:r>
              <w:rPr>
                <w:sz w:val="18"/>
                <w:szCs w:val="18"/>
              </w:rPr>
              <w:t xml:space="preserve">Gives everyone who builds, buys, operates or is overseen by AI systems the knowledge they need for their role, from general awareness to the specific skills of overseeing a high-risk system.
</w:t>
            </w:r>
          </w:p>
        </w:tc>
        <w:tc>
          <w:tcPr>
            <w:tcW w:w="2400" w:type="dxa"/>
            <w:noWrap/>
          </w:tcPr>
          <w:p>
            <w:pPr/>
            <w:r>
              <w:rPr>
                <w:sz w:val="18"/>
                <w:szCs w:val="18"/>
              </w:rPr>
              <w:t xml:space="preserve">Learning and development lead</w:t>
            </w:r>
          </w:p>
        </w:tc>
        <w:tc>
          <w:tcPr>
            <w:tcW w:w="2400" w:type="dxa"/>
            <w:noWrap/>
          </w:tcPr>
          <w:p>
            <w:pPr/>
            <w:r>
              <w:rPr>
                <w:sz w:val="18"/>
                <w:szCs w:val="18"/>
              </w:rPr>
              <w:t xml:space="preserve">annual</w:t>
            </w:r>
          </w:p>
        </w:tc>
      </w:tr>
      <w:tr>
        <w:trPr/>
        <w:tc>
          <w:tcPr>
            <w:tcW w:w="2400" w:type="dxa"/>
            <w:noWrap/>
          </w:tcPr>
          <w:p>
            <w:pPr/>
            <w:r>
              <w:rPr>
                <w:sz w:val="18"/>
                <w:szCs w:val="18"/>
              </w:rPr>
              <w:t xml:space="preserve">AI risk assessment and lifecycle risk register</w:t>
            </w:r>
          </w:p>
        </w:tc>
        <w:tc>
          <w:tcPr>
            <w:tcW w:w="2400" w:type="dxa"/>
            <w:noWrap/>
          </w:tcPr>
          <w:p>
            <w:pPr/>
            <w:r>
              <w:rPr>
                <w:sz w:val="18"/>
                <w:szCs w:val="18"/>
              </w:rPr>
              <w:t xml:space="preserve">Identifies, rates and treats the risks that a specific AI system poses to health, safety, rights and the organisation itself, and keeps that analysis alive from design through retirement.
</w:t>
            </w:r>
          </w:p>
        </w:tc>
        <w:tc>
          <w:tcPr>
            <w:tcW w:w="2400" w:type="dxa"/>
            <w:noWrap/>
          </w:tcPr>
          <w:p>
            <w:pPr/>
            <w:r>
              <w:rPr>
                <w:sz w:val="18"/>
                <w:szCs w:val="18"/>
              </w:rPr>
              <w:t xml:space="preserve">AI system owner</w:t>
            </w:r>
          </w:p>
        </w:tc>
        <w:tc>
          <w:tcPr>
            <w:tcW w:w="2400" w:type="dxa"/>
            <w:noWrap/>
          </w:tcPr>
          <w:p>
            <w:pPr/>
            <w:r>
              <w:rPr>
                <w:sz w:val="18"/>
                <w:szCs w:val="18"/>
              </w:rPr>
              <w:t xml:space="preserve">per_system</w:t>
            </w:r>
          </w:p>
        </w:tc>
      </w:tr>
      <w:tr>
        <w:trPr/>
        <w:tc>
          <w:tcPr>
            <w:tcW w:w="2400" w:type="dxa"/>
            <w:noWrap/>
          </w:tcPr>
          <w:p>
            <w:pPr/>
            <w:r>
              <w:rPr>
                <w:sz w:val="18"/>
                <w:szCs w:val="18"/>
              </w:rPr>
              <w:t xml:space="preserve">AI system inventory and classification</w:t>
            </w:r>
          </w:p>
        </w:tc>
        <w:tc>
          <w:tcPr>
            <w:tcW w:w="2400" w:type="dxa"/>
            <w:noWrap/>
          </w:tcPr>
          <w:p>
            <w:pPr/>
            <w:r>
              <w:rPr>
                <w:sz w:val="18"/>
                <w:szCs w:val="18"/>
              </w:rPr>
              <w:t xml:space="preserve">Ensures the organisation knows every AI system it builds, buys or embeds, who owns it, what it is for and which legal risk tier it falls into, so that obligations can be assigned rather than discovered after the fact.
</w:t>
            </w:r>
          </w:p>
        </w:tc>
        <w:tc>
          <w:tcPr>
            <w:tcW w:w="2400" w:type="dxa"/>
            <w:noWrap/>
          </w:tcPr>
          <w:p>
            <w:pPr/>
            <w:r>
              <w:rPr>
                <w:sz w:val="18"/>
                <w:szCs w:val="18"/>
              </w:rPr>
              <w:t xml:space="preserve">AI governance lead</w:t>
            </w:r>
          </w:p>
        </w:tc>
        <w:tc>
          <w:tcPr>
            <w:tcW w:w="2400" w:type="dxa"/>
            <w:noWrap/>
          </w:tcPr>
          <w:p>
            <w:pPr/>
            <w:r>
              <w:rPr>
                <w:sz w:val="18"/>
                <w:szCs w:val="18"/>
              </w:rPr>
              <w:t xml:space="preserve">continuous</w:t>
            </w:r>
          </w:p>
        </w:tc>
      </w:tr>
      <w:tr>
        <w:trPr/>
        <w:tc>
          <w:tcPr>
            <w:tcW w:w="2400" w:type="dxa"/>
            <w:noWrap/>
          </w:tcPr>
          <w:p>
            <w:pPr/>
            <w:r>
              <w:rPr>
                <w:sz w:val="18"/>
                <w:szCs w:val="18"/>
              </w:rPr>
              <w:t xml:space="preserve">Accuracy, robustness, fairness and security testing</w:t>
            </w:r>
          </w:p>
        </w:tc>
        <w:tc>
          <w:tcPr>
            <w:tcW w:w="2400" w:type="dxa"/>
            <w:noWrap/>
          </w:tcPr>
          <w:p>
            <w:pPr/>
            <w:r>
              <w:rPr>
                <w:sz w:val="18"/>
                <w:szCs w:val="18"/>
              </w:rPr>
              <w:t xml:space="preserve">Verifies before release, and again after material change, that a system performs to declared accuracy levels, behaves consistently across groups and conditions, and resists the attacks specific to AI.
</w:t>
            </w:r>
          </w:p>
        </w:tc>
        <w:tc>
          <w:tcPr>
            <w:tcW w:w="2400" w:type="dxa"/>
            <w:noWrap/>
          </w:tcPr>
          <w:p>
            <w:pPr/>
            <w:r>
              <w:rPr>
                <w:sz w:val="18"/>
                <w:szCs w:val="18"/>
              </w:rPr>
              <w:t xml:space="preserve">Quality or testing lead</w:t>
            </w:r>
          </w:p>
        </w:tc>
        <w:tc>
          <w:tcPr>
            <w:tcW w:w="2400" w:type="dxa"/>
            <w:noWrap/>
          </w:tcPr>
          <w:p>
            <w:pPr/>
            <w:r>
              <w:rPr>
                <w:sz w:val="18"/>
                <w:szCs w:val="18"/>
              </w:rPr>
              <w:t xml:space="preserve">on_material_change</w:t>
            </w:r>
          </w:p>
        </w:tc>
      </w:tr>
      <w:tr>
        <w:trPr/>
        <w:tc>
          <w:tcPr>
            <w:tcW w:w="2400" w:type="dxa"/>
            <w:noWrap/>
          </w:tcPr>
          <w:p>
            <w:pPr/>
            <w:r>
              <w:rPr>
                <w:sz w:val="18"/>
                <w:szCs w:val="18"/>
              </w:rPr>
              <w:t xml:space="preserve">Adversarial and red-team testing for generative AI</w:t>
            </w:r>
          </w:p>
        </w:tc>
        <w:tc>
          <w:tcPr>
            <w:tcW w:w="2400" w:type="dxa"/>
            <w:noWrap/>
          </w:tcPr>
          <w:p>
            <w:pPr/>
            <w:r>
              <w:rPr>
                <w:sz w:val="18"/>
                <w:szCs w:val="18"/>
              </w:rPr>
              <w:t xml:space="preserve">Finds the ways a generative or general-purpose model can be made to produce harmful, deceptive or dangerous output before users or attackers do, and feeds the findings back into mitigations.
</w:t>
            </w:r>
          </w:p>
        </w:tc>
        <w:tc>
          <w:tcPr>
            <w:tcW w:w="2400" w:type="dxa"/>
            <w:noWrap/>
          </w:tcPr>
          <w:p>
            <w:pPr/>
            <w:r>
              <w:rPr>
                <w:sz w:val="18"/>
                <w:szCs w:val="18"/>
              </w:rPr>
              <w:t xml:space="preserve">AI security or safety lead</w:t>
            </w:r>
          </w:p>
        </w:tc>
        <w:tc>
          <w:tcPr>
            <w:tcW w:w="2400" w:type="dxa"/>
            <w:noWrap/>
          </w:tcPr>
          <w:p>
            <w:pPr/>
            <w:r>
              <w:rPr>
                <w:sz w:val="18"/>
                <w:szCs w:val="18"/>
              </w:rPr>
              <w:t xml:space="preserve">on_material_change</w:t>
            </w:r>
          </w:p>
        </w:tc>
      </w:tr>
      <w:tr>
        <w:trPr/>
        <w:tc>
          <w:tcPr>
            <w:tcW w:w="2400" w:type="dxa"/>
            <w:noWrap/>
          </w:tcPr>
          <w:p>
            <w:pPr/>
            <w:r>
              <w:rPr>
                <w:sz w:val="18"/>
                <w:szCs w:val="18"/>
              </w:rPr>
              <w:t xml:space="preserve">Automatic event logging and record retention</w:t>
            </w:r>
          </w:p>
        </w:tc>
        <w:tc>
          <w:tcPr>
            <w:tcW w:w="2400" w:type="dxa"/>
            <w:noWrap/>
          </w:tcPr>
          <w:p>
            <w:pPr/>
            <w:r>
              <w:rPr>
                <w:sz w:val="18"/>
                <w:szCs w:val="18"/>
              </w:rPr>
              <w:t xml:space="preserve">Captures what an AI system did, when and with what inputs, and keeps those records long enough to reconstruct a decision, investigate an incident and demonstrate ongoing monitoring.
</w:t>
            </w:r>
          </w:p>
        </w:tc>
        <w:tc>
          <w:tcPr>
            <w:tcW w:w="2400" w:type="dxa"/>
            <w:noWrap/>
          </w:tcPr>
          <w:p>
            <w:pPr/>
            <w:r>
              <w:rPr>
                <w:sz w:val="18"/>
                <w:szCs w:val="18"/>
              </w:rPr>
              <w:t xml:space="preserve">Engineering lead</w:t>
            </w:r>
          </w:p>
        </w:tc>
        <w:tc>
          <w:tcPr>
            <w:tcW w:w="2400" w:type="dxa"/>
            <w:noWrap/>
          </w:tcPr>
          <w:p>
            <w:pPr/>
            <w:r>
              <w:rPr>
                <w:sz w:val="18"/>
                <w:szCs w:val="18"/>
              </w:rPr>
              <w:t xml:space="preserve">continuous</w:t>
            </w:r>
          </w:p>
        </w:tc>
      </w:tr>
      <w:tr>
        <w:trPr/>
        <w:tc>
          <w:tcPr>
            <w:tcW w:w="2400" w:type="dxa"/>
            <w:noWrap/>
          </w:tcPr>
          <w:p>
            <w:pPr/>
            <w:r>
              <w:rPr>
                <w:sz w:val="18"/>
                <w:szCs w:val="18"/>
              </w:rPr>
              <w:t xml:space="preserve">Conformity assessment, declaration and registration</w:t>
            </w:r>
          </w:p>
        </w:tc>
        <w:tc>
          <w:tcPr>
            <w:tcW w:w="2400" w:type="dxa"/>
            <w:noWrap/>
          </w:tcPr>
          <w:p>
            <w:pPr/>
            <w:r>
              <w:rPr>
                <w:sz w:val="18"/>
                <w:szCs w:val="18"/>
              </w:rPr>
              <w:t xml:space="preserve">Takes a regulated system through the applicable pre-market assessment, produces the signed declaration or certificate and completes any registration with authorities before the system is placed on the market.
</w:t>
            </w:r>
          </w:p>
        </w:tc>
        <w:tc>
          <w:tcPr>
            <w:tcW w:w="2400" w:type="dxa"/>
            <w:noWrap/>
          </w:tcPr>
          <w:p>
            <w:pPr/>
            <w:r>
              <w:rPr>
                <w:sz w:val="18"/>
                <w:szCs w:val="18"/>
              </w:rPr>
              <w:t xml:space="preserve">Regulatory compliance lead</w:t>
            </w:r>
          </w:p>
        </w:tc>
        <w:tc>
          <w:tcPr>
            <w:tcW w:w="2400" w:type="dxa"/>
            <w:noWrap/>
          </w:tcPr>
          <w:p>
            <w:pPr/>
            <w:r>
              <w:rPr>
                <w:sz w:val="18"/>
                <w:szCs w:val="18"/>
              </w:rPr>
              <w:t xml:space="preserve">per_system</w:t>
            </w:r>
          </w:p>
        </w:tc>
      </w:tr>
      <w:tr>
        <w:trPr/>
        <w:tc>
          <w:tcPr>
            <w:tcW w:w="2400" w:type="dxa"/>
            <w:noWrap/>
          </w:tcPr>
          <w:p>
            <w:pPr/>
            <w:r>
              <w:rPr>
                <w:sz w:val="18"/>
                <w:szCs w:val="18"/>
              </w:rPr>
              <w:t xml:space="preserve">Contractual allocation of AI duties across the supply chain</w:t>
            </w:r>
          </w:p>
        </w:tc>
        <w:tc>
          <w:tcPr>
            <w:tcW w:w="2400" w:type="dxa"/>
            <w:noWrap/>
          </w:tcPr>
          <w:p>
            <w:pPr/>
            <w:r>
              <w:rPr>
                <w:sz w:val="18"/>
                <w:szCs w:val="18"/>
              </w:rPr>
              <w:t xml:space="preserve">Writes into supplier and customer agreements who does what on documentation, testing, notification, data rights and cooperation, so that legal duties do not fall into the gap between organisations.
</w:t>
            </w:r>
          </w:p>
        </w:tc>
        <w:tc>
          <w:tcPr>
            <w:tcW w:w="2400" w:type="dxa"/>
            <w:noWrap/>
          </w:tcPr>
          <w:p>
            <w:pPr/>
            <w:r>
              <w:rPr>
                <w:sz w:val="18"/>
                <w:szCs w:val="18"/>
              </w:rPr>
              <w:t xml:space="preserve">Legal counsel</w:t>
            </w:r>
          </w:p>
        </w:tc>
        <w:tc>
          <w:tcPr>
            <w:tcW w:w="2400" w:type="dxa"/>
            <w:noWrap/>
          </w:tcPr>
          <w:p>
            <w:pPr/>
            <w:r>
              <w:rPr>
                <w:sz w:val="18"/>
                <w:szCs w:val="18"/>
              </w:rPr>
              <w:t xml:space="preserve">per_system</w:t>
            </w:r>
          </w:p>
        </w:tc>
      </w:tr>
      <w:tr>
        <w:trPr/>
        <w:tc>
          <w:tcPr>
            <w:tcW w:w="2400" w:type="dxa"/>
            <w:noWrap/>
          </w:tcPr>
          <w:p>
            <w:pPr/>
            <w:r>
              <w:rPr>
                <w:sz w:val="18"/>
                <w:szCs w:val="18"/>
              </w:rPr>
              <w:t xml:space="preserve">Data governance and dataset documentation</w:t>
            </w:r>
          </w:p>
        </w:tc>
        <w:tc>
          <w:tcPr>
            <w:tcW w:w="2400" w:type="dxa"/>
            <w:noWrap/>
          </w:tcPr>
          <w:p>
            <w:pPr/>
            <w:r>
              <w:rPr>
                <w:sz w:val="18"/>
                <w:szCs w:val="18"/>
              </w:rPr>
              <w:t xml:space="preserve">Makes sure the data used to train, tune, validate and test an AI system is fit for purpose, understood and documented, so that quality and bias problems are found in the data before they surface in decisions.
</w:t>
            </w:r>
          </w:p>
        </w:tc>
        <w:tc>
          <w:tcPr>
            <w:tcW w:w="2400" w:type="dxa"/>
            <w:noWrap/>
          </w:tcPr>
          <w:p>
            <w:pPr/>
            <w:r>
              <w:rPr>
                <w:sz w:val="18"/>
                <w:szCs w:val="18"/>
              </w:rPr>
              <w:t xml:space="preserve">Data governance lead</w:t>
            </w:r>
          </w:p>
        </w:tc>
        <w:tc>
          <w:tcPr>
            <w:tcW w:w="2400" w:type="dxa"/>
            <w:noWrap/>
          </w:tcPr>
          <w:p>
            <w:pPr/>
            <w:r>
              <w:rPr>
                <w:sz w:val="18"/>
                <w:szCs w:val="18"/>
              </w:rPr>
              <w:t xml:space="preserve">per_system</w:t>
            </w:r>
          </w:p>
        </w:tc>
      </w:tr>
      <w:tr>
        <w:trPr/>
        <w:tc>
          <w:tcPr>
            <w:tcW w:w="2400" w:type="dxa"/>
            <w:noWrap/>
          </w:tcPr>
          <w:p>
            <w:pPr/>
            <w:r>
              <w:rPr>
                <w:sz w:val="18"/>
                <w:szCs w:val="18"/>
              </w:rPr>
              <w:t xml:space="preserve">Decision explanation, human review and appeal route</w:t>
            </w:r>
          </w:p>
        </w:tc>
        <w:tc>
          <w:tcPr>
            <w:tcW w:w="2400" w:type="dxa"/>
            <w:noWrap/>
          </w:tcPr>
          <w:p>
            <w:pPr/>
            <w:r>
              <w:rPr>
                <w:sz w:val="18"/>
                <w:szCs w:val="18"/>
              </w:rPr>
              <w:t xml:space="preserve">Gives people affected by a significant automated or AI-assisted decision a meaningful explanation, a way to correct the data behind it, and a route to have a person reconsider it.
</w:t>
            </w:r>
          </w:p>
        </w:tc>
        <w:tc>
          <w:tcPr>
            <w:tcW w:w="2400" w:type="dxa"/>
            <w:noWrap/>
          </w:tcPr>
          <w:p>
            <w:pPr/>
            <w:r>
              <w:rPr>
                <w:sz w:val="18"/>
                <w:szCs w:val="18"/>
              </w:rPr>
              <w:t xml:space="preserve">Customer operations lead</w:t>
            </w:r>
          </w:p>
        </w:tc>
        <w:tc>
          <w:tcPr>
            <w:tcW w:w="2400" w:type="dxa"/>
            <w:noWrap/>
          </w:tcPr>
          <w:p>
            <w:pPr/>
            <w:r>
              <w:rPr>
                <w:sz w:val="18"/>
                <w:szCs w:val="18"/>
              </w:rPr>
              <w:t xml:space="preserve">per_system</w:t>
            </w:r>
          </w:p>
        </w:tc>
      </w:tr>
      <w:tr>
        <w:trPr/>
        <w:tc>
          <w:tcPr>
            <w:tcW w:w="2400" w:type="dxa"/>
            <w:noWrap/>
          </w:tcPr>
          <w:p>
            <w:pPr/>
            <w:r>
              <w:rPr>
                <w:sz w:val="18"/>
                <w:szCs w:val="18"/>
              </w:rPr>
              <w:t xml:space="preserve">Frontier model safety and security framework</w:t>
            </w:r>
          </w:p>
        </w:tc>
        <w:tc>
          <w:tcPr>
            <w:tcW w:w="2400" w:type="dxa"/>
            <w:noWrap/>
          </w:tcPr>
          <w:p>
            <w:pPr/>
            <w:r>
              <w:rPr>
                <w:sz w:val="18"/>
                <w:szCs w:val="18"/>
              </w:rPr>
              <w:t xml:space="preserve">Commits a developer of the most capable general-purpose models to a published, regularly reviewed description of how it identifies catastrophic and systemic risks, decides when a model is safe to train further or release, and protects model weights.
</w:t>
            </w:r>
          </w:p>
        </w:tc>
        <w:tc>
          <w:tcPr>
            <w:tcW w:w="2400" w:type="dxa"/>
            <w:noWrap/>
          </w:tcPr>
          <w:p>
            <w:pPr/>
            <w:r>
              <w:rPr>
                <w:sz w:val="18"/>
                <w:szCs w:val="18"/>
              </w:rPr>
              <w:t xml:space="preserve">Head of AI safety</w:t>
            </w:r>
          </w:p>
        </w:tc>
        <w:tc>
          <w:tcPr>
            <w:tcW w:w="2400" w:type="dxa"/>
            <w:noWrap/>
          </w:tcPr>
          <w:p>
            <w:pPr/>
            <w:r>
              <w:rPr>
                <w:sz w:val="18"/>
                <w:szCs w:val="18"/>
              </w:rPr>
              <w:t xml:space="preserve">annual</w:t>
            </w:r>
          </w:p>
        </w:tc>
      </w:tr>
      <w:tr>
        <w:trPr/>
        <w:tc>
          <w:tcPr>
            <w:tcW w:w="2400" w:type="dxa"/>
            <w:noWrap/>
          </w:tcPr>
          <w:p>
            <w:pPr/>
            <w:r>
              <w:rPr>
                <w:sz w:val="18"/>
                <w:szCs w:val="18"/>
              </w:rPr>
              <w:t xml:space="preserve">Human oversight design and override procedure</w:t>
            </w:r>
          </w:p>
        </w:tc>
        <w:tc>
          <w:tcPr>
            <w:tcW w:w="2400" w:type="dxa"/>
            <w:noWrap/>
          </w:tcPr>
          <w:p>
            <w:pPr/>
            <w:r>
              <w:rPr>
                <w:sz w:val="18"/>
                <w:szCs w:val="18"/>
              </w:rPr>
              <w:t xml:space="preserve">Ensures that competent people can understand, question, correct, stop or decline to use an AI system's output, and that the degree of human involvement is chosen deliberately for each decision point.
</w:t>
            </w:r>
          </w:p>
        </w:tc>
        <w:tc>
          <w:tcPr>
            <w:tcW w:w="2400" w:type="dxa"/>
            <w:noWrap/>
          </w:tcPr>
          <w:p>
            <w:pPr/>
            <w:r>
              <w:rPr>
                <w:sz w:val="18"/>
                <w:szCs w:val="18"/>
              </w:rPr>
              <w:t xml:space="preserve">AI system owner</w:t>
            </w:r>
          </w:p>
        </w:tc>
        <w:tc>
          <w:tcPr>
            <w:tcW w:w="2400" w:type="dxa"/>
            <w:noWrap/>
          </w:tcPr>
          <w:p>
            <w:pPr/>
            <w:r>
              <w:rPr>
                <w:sz w:val="18"/>
                <w:szCs w:val="18"/>
              </w:rPr>
              <w:t xml:space="preserve">per_system</w:t>
            </w:r>
          </w:p>
        </w:tc>
      </w:tr>
      <w:tr>
        <w:trPr/>
        <w:tc>
          <w:tcPr>
            <w:tcW w:w="2400" w:type="dxa"/>
            <w:noWrap/>
          </w:tcPr>
          <w:p>
            <w:pPr/>
            <w:r>
              <w:rPr>
                <w:sz w:val="18"/>
                <w:szCs w:val="18"/>
              </w:rPr>
              <w:t xml:space="preserve">Model release and change-management gate</w:t>
            </w:r>
          </w:p>
        </w:tc>
        <w:tc>
          <w:tcPr>
            <w:tcW w:w="2400" w:type="dxa"/>
            <w:noWrap/>
          </w:tcPr>
          <w:p>
            <w:pPr/>
            <w:r>
              <w:rPr>
                <w:sz w:val="18"/>
                <w:szCs w:val="18"/>
              </w:rPr>
              <w:t xml:space="preserve">Makes every release, retraining and material change to an AI system pass through a documented decision that confirms the required assessments, tests and documentation are complete and current.
</w:t>
            </w:r>
          </w:p>
        </w:tc>
        <w:tc>
          <w:tcPr>
            <w:tcW w:w="2400" w:type="dxa"/>
            <w:noWrap/>
          </w:tcPr>
          <w:p>
            <w:pPr/>
            <w:r>
              <w:rPr>
                <w:sz w:val="18"/>
                <w:szCs w:val="18"/>
              </w:rPr>
              <w:t xml:space="preserve">Release manager</w:t>
            </w:r>
          </w:p>
        </w:tc>
        <w:tc>
          <w:tcPr>
            <w:tcW w:w="2400" w:type="dxa"/>
            <w:noWrap/>
          </w:tcPr>
          <w:p>
            <w:pPr/>
            <w:r>
              <w:rPr>
                <w:sz w:val="18"/>
                <w:szCs w:val="18"/>
              </w:rPr>
              <w:t xml:space="preserve">on_material_change</w:t>
            </w:r>
          </w:p>
        </w:tc>
      </w:tr>
      <w:tr>
        <w:trPr/>
        <w:tc>
          <w:tcPr>
            <w:tcW w:w="2400" w:type="dxa"/>
            <w:noWrap/>
          </w:tcPr>
          <w:p>
            <w:pPr/>
            <w:r>
              <w:rPr>
                <w:sz w:val="18"/>
                <w:szCs w:val="18"/>
              </w:rPr>
              <w:t xml:space="preserve">Post-deployment monitoring and drift detection</w:t>
            </w:r>
          </w:p>
        </w:tc>
        <w:tc>
          <w:tcPr>
            <w:tcW w:w="2400" w:type="dxa"/>
            <w:noWrap/>
          </w:tcPr>
          <w:p>
            <w:pPr/>
            <w:r>
              <w:rPr>
                <w:sz w:val="18"/>
                <w:szCs w:val="18"/>
              </w:rPr>
              <w:t xml:space="preserve">Watches a live AI system for falling performance, shifting data, emerging bias and unexpected use, and turns what it sees into corrective action, incident reports and documentation updates.
</w:t>
            </w:r>
          </w:p>
        </w:tc>
        <w:tc>
          <w:tcPr>
            <w:tcW w:w="2400" w:type="dxa"/>
            <w:noWrap/>
          </w:tcPr>
          <w:p>
            <w:pPr/>
            <w:r>
              <w:rPr>
                <w:sz w:val="18"/>
                <w:szCs w:val="18"/>
              </w:rPr>
              <w:t xml:space="preserve">AI system owner</w:t>
            </w:r>
          </w:p>
        </w:tc>
        <w:tc>
          <w:tcPr>
            <w:tcW w:w="2400" w:type="dxa"/>
            <w:noWrap/>
          </w:tcPr>
          <w:p>
            <w:pPr/>
            <w:r>
              <w:rPr>
                <w:sz w:val="18"/>
                <w:szCs w:val="18"/>
              </w:rPr>
              <w:t xml:space="preserve">continuous</w:t>
            </w:r>
          </w:p>
        </w:tc>
      </w:tr>
      <w:tr>
        <w:trPr/>
        <w:tc>
          <w:tcPr>
            <w:tcW w:w="2400" w:type="dxa"/>
            <w:noWrap/>
          </w:tcPr>
          <w:p>
            <w:pPr/>
            <w:r>
              <w:rPr>
                <w:sz w:val="18"/>
                <w:szCs w:val="18"/>
              </w:rPr>
              <w:t xml:space="preserve">Privacy and data-protection controls for AI</w:t>
            </w:r>
          </w:p>
        </w:tc>
        <w:tc>
          <w:tcPr>
            <w:tcW w:w="2400" w:type="dxa"/>
            <w:noWrap/>
          </w:tcPr>
          <w:p>
            <w:pPr/>
            <w:r>
              <w:rPr>
                <w:sz w:val="18"/>
                <w:szCs w:val="18"/>
              </w:rPr>
              <w:t xml:space="preserve">Ensures that personal data used to train, tune or run an AI system is processed on a documented lawful basis, with the assessments, notices, security and individual rights that data-protection law requires.
</w:t>
            </w:r>
          </w:p>
        </w:tc>
        <w:tc>
          <w:tcPr>
            <w:tcW w:w="2400" w:type="dxa"/>
            <w:noWrap/>
          </w:tcPr>
          <w:p>
            <w:pPr/>
            <w:r>
              <w:rPr>
                <w:sz w:val="18"/>
                <w:szCs w:val="18"/>
              </w:rPr>
              <w:t xml:space="preserve">Data protection officer</w:t>
            </w:r>
          </w:p>
        </w:tc>
        <w:tc>
          <w:tcPr>
            <w:tcW w:w="2400" w:type="dxa"/>
            <w:noWrap/>
          </w:tcPr>
          <w:p>
            <w:pPr/>
            <w:r>
              <w:rPr>
                <w:sz w:val="18"/>
                <w:szCs w:val="18"/>
              </w:rPr>
              <w:t xml:space="preserve">per_system</w:t>
            </w:r>
          </w:p>
        </w:tc>
      </w:tr>
      <w:tr>
        <w:trPr/>
        <w:tc>
          <w:tcPr>
            <w:tcW w:w="2400" w:type="dxa"/>
            <w:noWrap/>
          </w:tcPr>
          <w:p>
            <w:pPr/>
            <w:r>
              <w:rPr>
                <w:sz w:val="18"/>
                <w:szCs w:val="18"/>
              </w:rPr>
              <w:t xml:space="preserve">Prohibited and unacceptable-use screening gate</w:t>
            </w:r>
          </w:p>
        </w:tc>
        <w:tc>
          <w:tcPr>
            <w:tcW w:w="2400" w:type="dxa"/>
            <w:noWrap/>
          </w:tcPr>
          <w:p>
            <w:pPr/>
            <w:r>
              <w:rPr>
                <w:sz w:val="18"/>
                <w:szCs w:val="18"/>
              </w:rPr>
              <w:t xml:space="preserve">Stops the organisation from building, buying or operating an AI use that the law bans or that its own policy rules out, by checking every proposed and existing use against a maintained list.
</w:t>
            </w:r>
          </w:p>
        </w:tc>
        <w:tc>
          <w:tcPr>
            <w:tcW w:w="2400" w:type="dxa"/>
            <w:noWrap/>
          </w:tcPr>
          <w:p>
            <w:pPr/>
            <w:r>
              <w:rPr>
                <w:sz w:val="18"/>
                <w:szCs w:val="18"/>
              </w:rPr>
              <w:t xml:space="preserve">AI governance lead</w:t>
            </w:r>
          </w:p>
        </w:tc>
        <w:tc>
          <w:tcPr>
            <w:tcW w:w="2400" w:type="dxa"/>
            <w:noWrap/>
          </w:tcPr>
          <w:p>
            <w:pPr/>
            <w:r>
              <w:rPr>
                <w:sz w:val="18"/>
                <w:szCs w:val="18"/>
              </w:rPr>
              <w:t xml:space="preserve">per_system</w:t>
            </w:r>
          </w:p>
        </w:tc>
      </w:tr>
      <w:tr>
        <w:trPr/>
        <w:tc>
          <w:tcPr>
            <w:tcW w:w="2400" w:type="dxa"/>
            <w:noWrap/>
          </w:tcPr>
          <w:p>
            <w:pPr/>
            <w:r>
              <w:rPr>
                <w:sz w:val="18"/>
                <w:szCs w:val="18"/>
              </w:rPr>
              <w:t xml:space="preserve">Public-sector AI use-case register and algorithmic transparency</w:t>
            </w:r>
          </w:p>
        </w:tc>
        <w:tc>
          <w:tcPr>
            <w:tcW w:w="2400" w:type="dxa"/>
            <w:noWrap/>
          </w:tcPr>
          <w:p>
            <w:pPr/>
            <w:r>
              <w:rPr>
                <w:sz w:val="18"/>
                <w:szCs w:val="18"/>
              </w:rPr>
              <w:t xml:space="preserve">Lets a public body account for the AI it uses by keeping an inventory of use cases, flagging those that affect rights or services, and publishing what the public and oversight bodies are entitled to see.
</w:t>
            </w:r>
          </w:p>
        </w:tc>
        <w:tc>
          <w:tcPr>
            <w:tcW w:w="2400" w:type="dxa"/>
            <w:noWrap/>
          </w:tcPr>
          <w:p>
            <w:pPr/>
            <w:r>
              <w:rPr>
                <w:sz w:val="18"/>
                <w:szCs w:val="18"/>
              </w:rPr>
              <w:t xml:space="preserve">Agency AI officer</w:t>
            </w:r>
          </w:p>
        </w:tc>
        <w:tc>
          <w:tcPr>
            <w:tcW w:w="2400" w:type="dxa"/>
            <w:noWrap/>
          </w:tcPr>
          <w:p>
            <w:pPr/>
            <w:r>
              <w:rPr>
                <w:sz w:val="18"/>
                <w:szCs w:val="18"/>
              </w:rPr>
              <w:t xml:space="preserve">annual</w:t>
            </w:r>
          </w:p>
        </w:tc>
      </w:tr>
      <w:tr>
        <w:trPr/>
        <w:tc>
          <w:tcPr>
            <w:tcW w:w="2400" w:type="dxa"/>
            <w:noWrap/>
          </w:tcPr>
          <w:p>
            <w:pPr/>
            <w:r>
              <w:rPr>
                <w:sz w:val="18"/>
                <w:szCs w:val="18"/>
              </w:rPr>
              <w:t xml:space="preserve">Quality management system for AI development and supply</w:t>
            </w:r>
          </w:p>
        </w:tc>
        <w:tc>
          <w:tcPr>
            <w:tcW w:w="2400" w:type="dxa"/>
            <w:noWrap/>
          </w:tcPr>
          <w:p>
            <w:pPr/>
            <w:r>
              <w:rPr>
                <w:sz w:val="18"/>
                <w:szCs w:val="18"/>
              </w:rPr>
              <w:t xml:space="preserve">Binds the organisation's AI processes into one documented, audited management system so that compliance is repeatable across products rather than reinvented for each one.
</w:t>
            </w:r>
          </w:p>
        </w:tc>
        <w:tc>
          <w:tcPr>
            <w:tcW w:w="2400" w:type="dxa"/>
            <w:noWrap/>
          </w:tcPr>
          <w:p>
            <w:pPr/>
            <w:r>
              <w:rPr>
                <w:sz w:val="18"/>
                <w:szCs w:val="18"/>
              </w:rPr>
              <w:t xml:space="preserve">Quality lead</w:t>
            </w:r>
          </w:p>
        </w:tc>
        <w:tc>
          <w:tcPr>
            <w:tcW w:w="2400" w:type="dxa"/>
            <w:noWrap/>
          </w:tcPr>
          <w:p>
            <w:pPr/>
            <w:r>
              <w:rPr>
                <w:sz w:val="18"/>
                <w:szCs w:val="18"/>
              </w:rPr>
              <w:t xml:space="preserve">annual</w:t>
            </w:r>
          </w:p>
        </w:tc>
      </w:tr>
      <w:tr>
        <w:trPr/>
        <w:tc>
          <w:tcPr>
            <w:tcW w:w="2400" w:type="dxa"/>
            <w:noWrap/>
          </w:tcPr>
          <w:p>
            <w:pPr/>
            <w:r>
              <w:rPr>
                <w:sz w:val="18"/>
                <w:szCs w:val="18"/>
              </w:rPr>
              <w:t xml:space="preserve">Synthetic content labelling and provenance marking</w:t>
            </w:r>
          </w:p>
        </w:tc>
        <w:tc>
          <w:tcPr>
            <w:tcW w:w="2400" w:type="dxa"/>
            <w:noWrap/>
          </w:tcPr>
          <w:p>
            <w:pPr/>
            <w:r>
              <w:rPr>
                <w:sz w:val="18"/>
                <w:szCs w:val="18"/>
              </w:rPr>
              <w:t xml:space="preserve">Makes AI-generated or manipulated audio, image, video and text identifiable as such, both to people looking at it and to software checking it, so that it cannot easily be passed off as authentic.
</w:t>
            </w:r>
          </w:p>
        </w:tc>
        <w:tc>
          <w:tcPr>
            <w:tcW w:w="2400" w:type="dxa"/>
            <w:noWrap/>
          </w:tcPr>
          <w:p>
            <w:pPr/>
            <w:r>
              <w:rPr>
                <w:sz w:val="18"/>
                <w:szCs w:val="18"/>
              </w:rPr>
              <w:t xml:space="preserve">Engineering lead</w:t>
            </w:r>
          </w:p>
        </w:tc>
        <w:tc>
          <w:tcPr>
            <w:tcW w:w="2400" w:type="dxa"/>
            <w:noWrap/>
          </w:tcPr>
          <w:p>
            <w:pPr/>
            <w:r>
              <w:rPr>
                <w:sz w:val="18"/>
                <w:szCs w:val="18"/>
              </w:rPr>
              <w:t xml:space="preserve">continuous</w:t>
            </w:r>
          </w:p>
        </w:tc>
      </w:tr>
      <w:tr>
        <w:trPr/>
        <w:tc>
          <w:tcPr>
            <w:tcW w:w="2400" w:type="dxa"/>
            <w:noWrap/>
          </w:tcPr>
          <w:p>
            <w:pPr/>
            <w:r>
              <w:rPr>
                <w:sz w:val="18"/>
                <w:szCs w:val="18"/>
              </w:rPr>
              <w:t xml:space="preserve">Technical documentation, model cards and instructions for use</w:t>
            </w:r>
          </w:p>
        </w:tc>
        <w:tc>
          <w:tcPr>
            <w:tcW w:w="2400" w:type="dxa"/>
            <w:noWrap/>
          </w:tcPr>
          <w:p>
            <w:pPr/>
            <w:r>
              <w:rPr>
                <w:sz w:val="18"/>
                <w:szCs w:val="18"/>
              </w:rPr>
              <w:t xml:space="preserve">Produces and maintains the documentation that lets a regulator, a customer or a deployer understand what a system is, how it was built and tested, what it is for and how to use it safely.
</w:t>
            </w:r>
          </w:p>
        </w:tc>
        <w:tc>
          <w:tcPr>
            <w:tcW w:w="2400" w:type="dxa"/>
            <w:noWrap/>
          </w:tcPr>
          <w:p>
            <w:pPr/>
            <w:r>
              <w:rPr>
                <w:sz w:val="18"/>
                <w:szCs w:val="18"/>
              </w:rPr>
              <w:t xml:space="preserve">Product or model owner</w:t>
            </w:r>
          </w:p>
        </w:tc>
        <w:tc>
          <w:tcPr>
            <w:tcW w:w="2400" w:type="dxa"/>
            <w:noWrap/>
          </w:tcPr>
          <w:p>
            <w:pPr/>
            <w:r>
              <w:rPr>
                <w:sz w:val="18"/>
                <w:szCs w:val="18"/>
              </w:rPr>
              <w:t xml:space="preserve">on_material_change</w:t>
            </w:r>
          </w:p>
        </w:tc>
      </w:tr>
      <w:tr>
        <w:trPr/>
        <w:tc>
          <w:tcPr>
            <w:tcW w:w="2400" w:type="dxa"/>
            <w:noWrap/>
          </w:tcPr>
          <w:p>
            <w:pPr/>
            <w:r>
              <w:rPr>
                <w:sz w:val="18"/>
                <w:szCs w:val="18"/>
              </w:rPr>
              <w:t xml:space="preserve">Training-data provenance and copyright register</w:t>
            </w:r>
          </w:p>
        </w:tc>
        <w:tc>
          <w:tcPr>
            <w:tcW w:w="2400" w:type="dxa"/>
            <w:noWrap/>
          </w:tcPr>
          <w:p>
            <w:pPr/>
            <w:r>
              <w:rPr>
                <w:sz w:val="18"/>
                <w:szCs w:val="18"/>
              </w:rPr>
              <w:t xml:space="preserve">Records the origin, licence and rights status of every source used to train or fine-tune a model so that the organisation can honour opt-outs, answer downstream questions and publish a truthful summary of training content.
</w:t>
            </w:r>
          </w:p>
        </w:tc>
        <w:tc>
          <w:tcPr>
            <w:tcW w:w="2400" w:type="dxa"/>
            <w:noWrap/>
          </w:tcPr>
          <w:p>
            <w:pPr/>
            <w:r>
              <w:rPr>
                <w:sz w:val="18"/>
                <w:szCs w:val="18"/>
              </w:rPr>
              <w:t xml:space="preserve">Model development lead</w:t>
            </w:r>
          </w:p>
        </w:tc>
        <w:tc>
          <w:tcPr>
            <w:tcW w:w="2400" w:type="dxa"/>
            <w:noWrap/>
          </w:tcPr>
          <w:p>
            <w:pPr/>
            <w:r>
              <w:rPr>
                <w:sz w:val="18"/>
                <w:szCs w:val="18"/>
              </w:rPr>
              <w:t xml:space="preserve">on_material_change</w:t>
            </w:r>
          </w:p>
        </w:tc>
      </w:tr>
      <w:tr>
        <w:trPr/>
        <w:tc>
          <w:tcPr>
            <w:tcW w:w="2400" w:type="dxa"/>
            <w:noWrap/>
          </w:tcPr>
          <w:p>
            <w:pPr/>
            <w:r>
              <w:rPr>
                <w:sz w:val="18"/>
                <w:szCs w:val="18"/>
              </w:rPr>
              <w:t xml:space="preserve">Vendor and third-party AI due diligence</w:t>
            </w:r>
          </w:p>
        </w:tc>
        <w:tc>
          <w:tcPr>
            <w:tcW w:w="2400" w:type="dxa"/>
            <w:noWrap/>
          </w:tcPr>
          <w:p>
            <w:pPr/>
            <w:r>
              <w:rPr>
                <w:sz w:val="18"/>
                <w:szCs w:val="18"/>
              </w:rPr>
              <w:t xml:space="preserve">Checks, before an external model, dataset, component or AI service is adopted or resold, that the supplier has met its own duties and that the organisation understands what it is taking on.
</w:t>
            </w:r>
          </w:p>
        </w:tc>
        <w:tc>
          <w:tcPr>
            <w:tcW w:w="2400" w:type="dxa"/>
            <w:noWrap/>
          </w:tcPr>
          <w:p>
            <w:pPr/>
            <w:r>
              <w:rPr>
                <w:sz w:val="18"/>
                <w:szCs w:val="18"/>
              </w:rPr>
              <w:t xml:space="preserve">Procurement or vendor risk lead</w:t>
            </w:r>
          </w:p>
        </w:tc>
        <w:tc>
          <w:tcPr>
            <w:tcW w:w="2400" w:type="dxa"/>
            <w:noWrap/>
          </w:tcPr>
          <w:p>
            <w:pPr/>
            <w:r>
              <w:rPr>
                <w:sz w:val="18"/>
                <w:szCs w:val="18"/>
              </w:rPr>
              <w:t xml:space="preserve">per_system</w:t>
            </w:r>
          </w:p>
        </w:tc>
      </w:tr>
    </w:tbl>
    <w:p/>
    <w:p>
      <w:pPr>
        <w:pStyle w:val="Heading1"/>
      </w:pPr>
      <w:bookmarkStart w:id="4" w:name="_Toc5"/>
      <w:r>
        <w:t>5. Governance duties on record and how each is met</w:t>
      </w:r>
      <w:bookmarkEnd w:id="4"/>
    </w:p>
    <w:p>
      <w:pPr>
        <w:pStyle w:val="Heading2"/>
      </w:pPr>
      <w:bookmarkStart w:id="5" w:name="_Toc6"/>
      <w:r>
        <w:t>Establish accountability processes and a risk-management process (guardrails 1 and 2)</w:t>
      </w:r>
      <w:bookmarkEnd w:id="5"/>
    </w:p>
    <w:p>
      <w:pPr>
        <w:pStyle w:val="Body"/>
      </w:pPr>
      <w:r>
        <w:rPr/>
        <w:t xml:space="preserve">Guardrail 1 asks organisations to set up accountability processes including governance, internal capability and a strategy for regulatory compliance; guardrail 2 asks for a risk-management process to identify and mitigate risks across the AI lifecycle.</w:t>
      </w:r>
    </w:p>
    <w:p>
      <w:pPr>
        <w:pStyle w:val="Body"/>
      </w:pPr>
      <w:r>
        <w:rPr/>
        <w:t xml:space="preserve">In practice: Adopt an AI policy, assign an accountable owner and run per-use-case risk assessments.</w:t>
      </w:r>
    </w:p>
    <w:p>
      <w:pPr>
        <w:pStyle w:val="Small"/>
      </w:pPr>
      <w:r>
        <w:rPr>
          <w:color w:val="5D6B7E"/>
          <w:sz w:val="18"/>
          <w:szCs w:val="18"/>
          <w:i w:val="1"/>
          <w:iCs w:val="1"/>
        </w:rPr>
        <w:t xml:space="preserve">Evidence a reviewer would expect: AI accountability and risk-management documentation.</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8" w:history="1">
        <w:r>
          <w:rPr>
            <w:color w:val="006AAC"/>
            <w:sz w:val="18"/>
            <w:szCs w:val="18"/>
            <w:u w:val="single"/>
          </w:rPr>
          <w:t xml:space="preserve">Establish accountability processes and a risk-management process (guardrails 1 and 2) — Australian Voluntary AI Safety Standard, Guardrails 1 and 2 (Australia)</w:t>
        </w:r>
      </w:hyperlink>
    </w:p>
    <w:p>
      <w:pPr>
        <w:pStyle w:val="Heading2"/>
      </w:pPr>
      <w:bookmarkStart w:id="6" w:name="_Toc7"/>
      <w:r>
        <w:t>Frontier developers must protect employees who report catastrophic-risk concerns</w:t>
      </w:r>
      <w:bookmarkEnd w:id="6"/>
    </w:p>
    <w:p>
      <w:pPr>
        <w:pStyle w:val="Body"/>
      </w:pPr>
      <w:r>
        <w:rPr/>
        <w:t xml:space="preserve">A frontier developer must not adopt rules or take action that prevent or retaliate against a covered employee for disclosing to the Attorney General, a federal authority, a manager or another employee with authority that the developer's activities pose a specific and substantial danger to public health or safety from catastrophic risk, or that it has violated the Act. Covered employees must be given clear notice of these rights, and large frontier developers must run an anonymous internal reporting process with regular updates to the reporter and to officers and directors.</w:t>
      </w:r>
    </w:p>
    <w:p>
      <w:pPr>
        <w:pStyle w:val="Body"/>
      </w:pPr>
      <w:r>
        <w:rPr/>
        <w:t xml:space="preserve">In practice: Publish a whistleblower policy covering catastrophic-risk concerns, stand up an anonymous channel and brief managers on the anti-retaliation rule.</w:t>
      </w:r>
    </w:p>
    <w:p>
      <w:pPr>
        <w:pStyle w:val="Small"/>
      </w:pPr>
      <w:r>
        <w:rPr>
          <w:color w:val="5D6B7E"/>
          <w:sz w:val="18"/>
          <w:szCs w:val="18"/>
          <w:i w:val="1"/>
          <w:iCs w:val="1"/>
        </w:rPr>
        <w:t xml:space="preserve">Evidence a reviewer would expect: Whistleblower policy and employee notice; Anonymous reporting channel records.</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9" w:history="1">
        <w:r>
          <w:rPr>
            <w:color w:val="006AAC"/>
            <w:sz w:val="18"/>
            <w:szCs w:val="18"/>
            <w:u w:val="single"/>
          </w:rPr>
          <w:t xml:space="preserve">Frontier developers must protect employees who report catastrophic-risk concerns — California SB 53, Labor Code Section 1107 (as added by SB 53) (California (United States))</w:t>
        </w:r>
      </w:hyperlink>
    </w:p>
    <w:p>
      <w:pPr>
        <w:pStyle w:val="Heading2"/>
      </w:pPr>
      <w:bookmarkStart w:id="7" w:name="_Toc8"/>
      <w:r>
        <w:t>Operate a quality management system</w:t>
      </w:r>
      <w:bookmarkEnd w:id="7"/>
    </w:p>
    <w:p>
      <w:pPr>
        <w:pStyle w:val="Body"/>
      </w:pPr>
      <w:r>
        <w:rPr/>
        <w:t xml:space="preserve">Providers of high-risk AI systems must put in place a documented quality management system covering regulatory-compliance strategy, design and development procedures, testing and validation, technical specifications and standards, data management, the risk-management system, post-market monitoring, incident reporting, communication with authorities, record keeping, resource management and an accountability framework.</w:t>
      </w:r>
    </w:p>
    <w:p>
      <w:pPr>
        <w:pStyle w:val="Body"/>
      </w:pPr>
      <w:r>
        <w:rPr/>
        <w:t xml:space="preserve">In practice: Extend an existing ISO 9001 or ISO/IEC 42001 management system to cover the Article 17 elements.</w:t>
      </w:r>
    </w:p>
    <w:p>
      <w:pPr>
        <w:pStyle w:val="Small"/>
      </w:pPr>
      <w:r>
        <w:rPr>
          <w:color w:val="5D6B7E"/>
          <w:sz w:val="18"/>
          <w:szCs w:val="18"/>
          <w:i w:val="1"/>
          <w:iCs w:val="1"/>
        </w:rPr>
        <w:t xml:space="preserve">Evidence a reviewer would expect: QMS manual and procedures.</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0" w:history="1">
        <w:r>
          <w:rPr>
            <w:color w:val="006AAC"/>
            <w:sz w:val="18"/>
            <w:szCs w:val="18"/>
            <w:u w:val="single"/>
          </w:rPr>
          <w:t xml:space="preserve">Operate a quality management system — EU AI Act, Article 17 (European Union)</w:t>
        </w:r>
      </w:hyperlink>
    </w:p>
    <w:p>
      <w:pPr>
        <w:pStyle w:val="Heading2"/>
      </w:pPr>
      <w:bookmarkStart w:id="8" w:name="_Toc9"/>
      <w:r>
        <w:t>Use high-risk AI as instructed, monitor it and inform affected people</w:t>
      </w:r>
      <w:bookmarkEnd w:id="8"/>
    </w:p>
    <w:p>
      <w:pPr>
        <w:pStyle w:val="Body"/>
      </w:pPr>
      <w:r>
        <w:rPr/>
        <w:t xml:space="preserve">Deployers of high-risk AI must take technical and organisational measures to use systems according to the instructions, assign human oversight, ensure input data is relevant where they control it, monitor operation, inform the provider and authorities of risks or serious incidents, keep logs, inform workers' representatives before deploying at the workplace, inform affected natural persons where decisions are made about them, and cooperate with authorities.</w:t>
      </w:r>
    </w:p>
    <w:p>
      <w:pPr>
        <w:pStyle w:val="Body"/>
      </w:pPr>
      <w:r>
        <w:rPr/>
        <w:t xml:space="preserve">In practice: Create a deployer checklist per high-risk system and a notice for affected individuals and workers.</w:t>
      </w:r>
    </w:p>
    <w:p>
      <w:pPr>
        <w:pStyle w:val="Small"/>
      </w:pPr>
      <w:r>
        <w:rPr>
          <w:color w:val="5D6B7E"/>
          <w:sz w:val="18"/>
          <w:szCs w:val="18"/>
          <w:i w:val="1"/>
          <w:iCs w:val="1"/>
        </w:rPr>
        <w:t xml:space="preserve">Evidence a reviewer would expect: Deployment checklist and oversight assignment; Worker and affected-person notices.</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1" w:history="1">
        <w:r>
          <w:rPr>
            <w:color w:val="006AAC"/>
            <w:sz w:val="18"/>
            <w:szCs w:val="18"/>
            <w:u w:val="single"/>
          </w:rPr>
          <w:t xml:space="preserve">Use high-risk AI as instructed, monitor it and inform affected people — EU AI Act, Article 26 (European Union)</w:t>
        </w:r>
      </w:hyperlink>
    </w:p>
    <w:p>
      <w:pPr>
        <w:pStyle w:val="Heading2"/>
      </w:pPr>
      <w:bookmarkStart w:id="9" w:name="_Toc10"/>
      <w:r>
        <w:t>Providers must meet the full set of provider duties for high-risk AI</w:t>
      </w:r>
      <w:bookmarkEnd w:id="9"/>
    </w:p>
    <w:p>
      <w:pPr>
        <w:pStyle w:val="Body"/>
      </w:pPr>
      <w:r>
        <w:rPr/>
        <w:t xml:space="preserve">Article 16 lists what a provider of a high-risk AI system owes: compliance with the Section 2 requirements, its name and contact details on the system or its documentation, a quality management system, retention of documentation and logs, conformity assessment, an EU declaration of conformity, CE marking, registration, corrective action when needed, cooperation with authorities on request, and accessibility in line with the EU accessibility directives.</w:t>
      </w:r>
    </w:p>
    <w:p>
      <w:pPr>
        <w:pStyle w:val="Body"/>
      </w:pPr>
      <w:r>
        <w:rPr/>
        <w:t xml:space="preserve">In practice: Map each Article 16 point to an owner and an evidence location in a compliance matrix for every high-risk system.</w:t>
      </w:r>
    </w:p>
    <w:p>
      <w:pPr>
        <w:pStyle w:val="Small"/>
      </w:pPr>
      <w:r>
        <w:rPr>
          <w:color w:val="5D6B7E"/>
          <w:sz w:val="18"/>
          <w:szCs w:val="18"/>
          <w:i w:val="1"/>
          <w:iCs w:val="1"/>
        </w:rPr>
        <w:t xml:space="preserve">Evidence a reviewer would expect: Provider compliance matrix.</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2" w:history="1">
        <w:r>
          <w:rPr>
            <w:color w:val="006AAC"/>
            <w:sz w:val="18"/>
            <w:szCs w:val="18"/>
            <w:u w:val="single"/>
          </w:rPr>
          <w:t xml:space="preserve">Providers must meet the full set of provider duties for high-risk AI — EU AI Act, Article 16 (European Union)</w:t>
        </w:r>
      </w:hyperlink>
    </w:p>
    <w:p>
      <w:pPr>
        <w:pStyle w:val="Heading2"/>
      </w:pPr>
      <w:bookmarkStart w:id="10" w:name="_Toc11"/>
      <w:r>
        <w:t>Providers must supply conformity evidence and log access to authorities on request</w:t>
      </w:r>
      <w:bookmarkEnd w:id="10"/>
    </w:p>
    <w:p>
      <w:pPr>
        <w:pStyle w:val="Body"/>
      </w:pPr>
      <w:r>
        <w:rPr/>
        <w:t xml:space="preserve">On a reasoned request from a national competent authority, a provider of a high-risk AI system must supply all the information and documentation needed to show that the system meets the Section 2 requirements, in a language the authority can readily understand, and must give the authority access to the automatically generated logs it holds. Authorities must treat what they receive as confidential under Article 78.</w:t>
      </w:r>
    </w:p>
    <w:p>
      <w:pPr>
        <w:pStyle w:val="Body"/>
      </w:pPr>
      <w:r>
        <w:rPr/>
        <w:t xml:space="preserve">In practice: Keep an authority-request playbook with a named contact, the documentation index and a pre-agreed export format for logs.</w:t>
      </w:r>
    </w:p>
    <w:p>
      <w:pPr>
        <w:pStyle w:val="Small"/>
      </w:pPr>
      <w:r>
        <w:rPr>
          <w:color w:val="5D6B7E"/>
          <w:sz w:val="18"/>
          <w:szCs w:val="18"/>
          <w:i w:val="1"/>
          <w:iCs w:val="1"/>
        </w:rPr>
        <w:t xml:space="preserve">Evidence a reviewer would expect: Regulator request handling procedure; Log of authority requests and responses.</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3" w:history="1">
        <w:r>
          <w:rPr>
            <w:color w:val="006AAC"/>
            <w:sz w:val="18"/>
            <w:szCs w:val="18"/>
            <w:u w:val="single"/>
          </w:rPr>
          <w:t xml:space="preserve">Providers must supply conformity evidence and log access to authorities on request — EU AI Act, Article 21 (European Union)</w:t>
        </w:r>
      </w:hyperlink>
    </w:p>
    <w:p>
      <w:pPr>
        <w:pStyle w:val="Heading2"/>
      </w:pPr>
      <w:bookmarkStart w:id="11" w:name="_Toc12"/>
      <w:r>
        <w:t>Non-EU providers must appoint an EU authorised representative for high-risk AI</w:t>
      </w:r>
      <w:bookmarkEnd w:id="11"/>
    </w:p>
    <w:p>
      <w:pPr>
        <w:pStyle w:val="Body"/>
      </w:pPr>
      <w:r>
        <w:rPr/>
        <w:t xml:space="preserve">Before making a high-risk AI system available in the Union, a provider established outside the EU must appoint, by written mandate, an authorised representative established in the Union. The representative verifies that the EU declaration of conformity and technical documentation exist and that conformity assessment was done, keeps the provider's contact details and the documentation available for ten years, supplies information to authorities, cooperates with them, and must end the mandate if the provider acts contrary to the Regulation.</w:t>
      </w:r>
    </w:p>
    <w:p>
      <w:pPr>
        <w:pStyle w:val="Body"/>
      </w:pPr>
      <w:r>
        <w:rPr/>
        <w:t xml:space="preserve">In practice: Sign a written mandate with an EU-established representative and give them a controlled copy of the technical file and declaration.</w:t>
      </w:r>
    </w:p>
    <w:p>
      <w:pPr>
        <w:pStyle w:val="Small"/>
      </w:pPr>
      <w:r>
        <w:rPr>
          <w:color w:val="5D6B7E"/>
          <w:sz w:val="18"/>
          <w:szCs w:val="18"/>
          <w:i w:val="1"/>
          <w:iCs w:val="1"/>
        </w:rPr>
        <w:t xml:space="preserve">Evidence a reviewer would expect: Written mandate of authorised representative; Representative's documentation checklist.</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4" w:history="1">
        <w:r>
          <w:rPr>
            <w:color w:val="006AAC"/>
            <w:sz w:val="18"/>
            <w:szCs w:val="18"/>
            <w:u w:val="single"/>
          </w:rPr>
          <w:t xml:space="preserve">Non-EU providers must appoint an EU authorised representative for high-risk AI — EU AI Act, Article 22 (European Union)</w:t>
        </w:r>
      </w:hyperlink>
    </w:p>
    <w:p>
      <w:pPr>
        <w:pStyle w:val="Heading2"/>
      </w:pPr>
      <w:bookmarkStart w:id="12" w:name="_Toc13"/>
      <w:r>
        <w:t>Deployers, distributors and importers must assume provider duties when they rebrand or substantially modify high-risk AI</w:t>
      </w:r>
      <w:bookmarkEnd w:id="12"/>
    </w:p>
    <w:p>
      <w:pPr>
        <w:pStyle w:val="Body"/>
      </w:pPr>
      <w:r>
        <w:rPr/>
        <w:t xml:space="preserve">A distributor, importer, deployer or other third party is treated as the provider of a high-risk AI system, with all Article 16 duties, if it puts its own name or trademark on a system already on the market, makes a substantial modification to a high-risk system that stays high-risk, or changes the intended purpose of a system so that it becomes high-risk. The original provider then ceases to be provider for that system but must cooperate and supply the information and access needed for the new provider to comply.</w:t>
      </w:r>
    </w:p>
    <w:p>
      <w:pPr>
        <w:pStyle w:val="Body"/>
      </w:pPr>
      <w:r>
        <w:rPr/>
        <w:t xml:space="preserve">In practice: Add a reclassification check to change control so that white-labelling, fine-tuning or repurposing a high-risk system triggers the provider workstream.</w:t>
      </w:r>
    </w:p>
    <w:p>
      <w:pPr>
        <w:pStyle w:val="Small"/>
      </w:pPr>
      <w:r>
        <w:rPr>
          <w:color w:val="5D6B7E"/>
          <w:sz w:val="18"/>
          <w:szCs w:val="18"/>
          <w:i w:val="1"/>
          <w:iCs w:val="1"/>
        </w:rPr>
        <w:t xml:space="preserve">Evidence a reviewer would expect: Change-control reclassification assessment; Cooperation clause with original provider.</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5" w:history="1">
        <w:r>
          <w:rPr>
            <w:color w:val="006AAC"/>
            <w:sz w:val="18"/>
            <w:szCs w:val="18"/>
            <w:u w:val="single"/>
          </w:rPr>
          <w:t xml:space="preserve">Deployers, distributors and importers must assume provider duties when they rebrand or substantially modify high-risk AI — EU AI Act, Article 25(1) and 25(2) (European Union)</w:t>
        </w:r>
      </w:hyperlink>
    </w:p>
    <w:p>
      <w:pPr>
        <w:pStyle w:val="Heading2"/>
      </w:pPr>
      <w:bookmarkStart w:id="13" w:name="_Toc14"/>
      <w:r>
        <w:t>Law-enforcement deployers must obtain authorisation for post-remote biometric identification and report annually</w:t>
      </w:r>
      <w:bookmarkEnd w:id="13"/>
    </w:p>
    <w:p>
      <w:pPr>
        <w:pStyle w:val="Body"/>
      </w:pPr>
      <w:r>
        <w:rPr/>
        <w:t xml:space="preserve">A deployer using a high-risk post-remote biometric identification system in a criminal investigation must request authorisation from a judicial or independent administrative authority in advance or within 48 hours, unless the use is only the initial identification of a potential suspect on objective and verifiable facts. Use is limited to a targeted search; if authorisation is refused, use stops and the data is deleted. No adverse legal decision may rest solely on the output, each use is documented, and the deployer reports annually to the market surveillance and data protection authorities.</w:t>
      </w:r>
    </w:p>
    <w:p>
      <w:pPr>
        <w:pStyle w:val="Body"/>
      </w:pPr>
      <w:r>
        <w:rPr/>
        <w:t xml:space="preserve">In practice: Build the authorisation request, 48-hour clock and deletion step into the investigation workflow and schedule the annual report.</w:t>
      </w:r>
    </w:p>
    <w:p>
      <w:pPr>
        <w:pStyle w:val="Small"/>
      </w:pPr>
      <w:r>
        <w:rPr>
          <w:color w:val="5D6B7E"/>
          <w:sz w:val="18"/>
          <w:szCs w:val="18"/>
          <w:i w:val="1"/>
          <w:iCs w:val="1"/>
        </w:rPr>
        <w:t xml:space="preserve">Evidence a reviewer would expect: Authorisation request and decision record; Annual report on post-remote biometric identification use.</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6" w:history="1">
        <w:r>
          <w:rPr>
            <w:color w:val="006AAC"/>
            <w:sz w:val="18"/>
            <w:szCs w:val="18"/>
            <w:u w:val="single"/>
          </w:rPr>
          <w:t xml:space="preserve">Law-enforcement deployers must obtain authorisation for post-remote biometric identification and report annually — EU AI Act, Article 26(10) (European Union)</w:t>
        </w:r>
      </w:hyperlink>
    </w:p>
    <w:p>
      <w:pPr>
        <w:pStyle w:val="Heading2"/>
      </w:pPr>
      <w:bookmarkStart w:id="14" w:name="_Toc15"/>
      <w:r>
        <w:t>Providers of GPAI models must notify the Commission within two weeks of meeting the systemic-risk threshold</w:t>
      </w:r>
      <w:bookmarkEnd w:id="14"/>
    </w:p>
    <w:p>
      <w:pPr>
        <w:pStyle w:val="Body"/>
      </w:pPr>
      <w:r>
        <w:rPr/>
        <w:t xml:space="preserve">A provider whose general-purpose AI model meets the Article 51(1)(a) high-impact capability condition, which is presumed once cumulative training compute exceeds 10^25 floating-point operations, must notify the Commission without delay and in any event within two weeks of the condition being met or of learning that it will be met. The notification may include arguments that the model nonetheless does not present systemic risk; the Commission decides and keeps a public list of designated models.</w:t>
      </w:r>
    </w:p>
    <w:p>
      <w:pPr>
        <w:pStyle w:val="Body"/>
      </w:pPr>
      <w:r>
        <w:rPr/>
        <w:t xml:space="preserve">In practice: Track cumulative training compute per model against the threshold and pre-draft the notification and any rebuttal arguments.</w:t>
      </w:r>
    </w:p>
    <w:p>
      <w:pPr>
        <w:pStyle w:val="Small"/>
      </w:pPr>
      <w:r>
        <w:rPr>
          <w:color w:val="5D6B7E"/>
          <w:sz w:val="18"/>
          <w:szCs w:val="18"/>
          <w:i w:val="1"/>
          <w:iCs w:val="1"/>
        </w:rPr>
        <w:t xml:space="preserve">Evidence a reviewer would expect: Training compute tracking record; Notification to the Commission.</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7" w:history="1">
        <w:r>
          <w:rPr>
            <w:color w:val="006AAC"/>
            <w:sz w:val="18"/>
            <w:szCs w:val="18"/>
            <w:u w:val="single"/>
          </w:rPr>
          <w:t xml:space="preserve">Providers of GPAI models must notify the Commission within two weeks of meeting the systemic-risk threshold — EU AI Act, Article 52(1) (European Union)</w:t>
        </w:r>
      </w:hyperlink>
    </w:p>
    <w:p>
      <w:pPr>
        <w:pStyle w:val="Heading2"/>
      </w:pPr>
      <w:bookmarkStart w:id="15" w:name="_Toc16"/>
      <w:r>
        <w:t>Non-EU providers of GPAI models must appoint an EU authorised representative</w:t>
      </w:r>
      <w:bookmarkEnd w:id="15"/>
    </w:p>
    <w:p>
      <w:pPr>
        <w:pStyle w:val="Body"/>
      </w:pPr>
      <w:r>
        <w:rPr/>
        <w:t xml:space="preserve">Before placing a general-purpose AI model on the Union market, a provider established in a third country must appoint, by written mandate, an authorised representative established in the Union. The representative checks that the Annex XI documentation exists and the Article 53 duties are met, keeps a copy of the documentation and the provider's contact details for ten years after market placement, provides information to the AI Office on request, cooperates with authorities, and must end the mandate if the provider breaches the Regulation. Open-source models without systemic risk are exempt.</w:t>
      </w:r>
    </w:p>
    <w:p>
      <w:pPr>
        <w:pStyle w:val="Body"/>
      </w:pPr>
      <w:r>
        <w:rPr/>
        <w:t xml:space="preserve">In practice: Appoint an EU representative under a written mandate covering document retention and AI Office liaison before the model reaches EU users.</w:t>
      </w:r>
    </w:p>
    <w:p>
      <w:pPr>
        <w:pStyle w:val="Small"/>
      </w:pPr>
      <w:r>
        <w:rPr>
          <w:color w:val="5D6B7E"/>
          <w:sz w:val="18"/>
          <w:szCs w:val="18"/>
          <w:i w:val="1"/>
          <w:iCs w:val="1"/>
        </w:rPr>
        <w:t xml:space="preserve">Evidence a reviewer would expect: Written mandate of authorised representative for GPAI; Representative's verification of Annex XI documentation.</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8" w:history="1">
        <w:r>
          <w:rPr>
            <w:color w:val="006AAC"/>
            <w:sz w:val="18"/>
            <w:szCs w:val="18"/>
            <w:u w:val="single"/>
          </w:rPr>
          <w:t xml:space="preserve">Non-EU providers of GPAI models must appoint an EU authorised representative — EU AI Act, Article 54 (European Union)</w:t>
        </w:r>
      </w:hyperlink>
    </w:p>
    <w:p>
      <w:pPr>
        <w:pStyle w:val="Heading2"/>
      </w:pPr>
      <w:bookmarkStart w:id="16" w:name="_Toc17"/>
      <w:r>
        <w:t>Adopt the guiding principles and risk-based governance (voluntary)</w:t>
      </w:r>
      <w:bookmarkEnd w:id="16"/>
    </w:p>
    <w:p>
      <w:pPr>
        <w:pStyle w:val="Body"/>
      </w:pPr>
      <w:r>
        <w:rPr/>
        <w:t xml:space="preserve">The guidelines encourage organisations to embed principles such as fairness, accountability, safety and transparency, to classify and mitigate risks proportionately, and to participate in voluntary frameworks and incident reporting.</w:t>
      </w:r>
    </w:p>
    <w:p>
      <w:pPr>
        <w:pStyle w:val="Body"/>
      </w:pPr>
      <w:r>
        <w:rPr/>
        <w:t xml:space="preserve">In practice: Map your existing AI governance programme to the guidelines' principles and note the gaps.</w:t>
      </w:r>
    </w:p>
    <w:p>
      <w:pPr>
        <w:pStyle w:val="Small"/>
      </w:pPr>
      <w:r>
        <w:rPr>
          <w:color w:val="5D6B7E"/>
          <w:sz w:val="18"/>
          <w:szCs w:val="18"/>
          <w:i w:val="1"/>
          <w:iCs w:val="1"/>
        </w:rPr>
        <w:t xml:space="preserve">Evidence a reviewer would expect: Principles alignment statement.</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19" w:history="1">
        <w:r>
          <w:rPr>
            <w:color w:val="006AAC"/>
            <w:sz w:val="18"/>
            <w:szCs w:val="18"/>
            <w:u w:val="single"/>
          </w:rPr>
          <w:t xml:space="preserve">Adopt the guiding principles and risk-based governance (voluntary) — India AI Governance Guidelines, Guiding principles and recommendations sections (India)</w:t>
        </w:r>
      </w:hyperlink>
    </w:p>
    <w:p>
      <w:pPr>
        <w:pStyle w:val="Heading2"/>
      </w:pPr>
      <w:bookmarkStart w:id="17" w:name="_Toc18"/>
      <w:r>
        <w:t>Government bodies to promote ethical, responsible and inclusive AI (policy commitment)</w:t>
      </w:r>
      <w:bookmarkEnd w:id="17"/>
    </w:p>
    <w:p>
      <w:pPr>
        <w:pStyle w:val="Body"/>
      </w:pPr>
      <w:r>
        <w:rPr/>
        <w:t xml:space="preserve">The policy commits the government to ethical, transparent and inclusive AI, data governance and institutional oversight. The specific strategies and any obligations on private actors must be confirmed from the official document; this record intentionally does not state details that could not be verified.</w:t>
      </w:r>
    </w:p>
    <w:p>
      <w:pPr>
        <w:pStyle w:val="Body"/>
      </w:pPr>
      <w:r>
        <w:rPr/>
        <w:t xml:space="preserve">In practice: Public bodies and vendors should track implementing measures from MoCIT.</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0" w:history="1">
        <w:r>
          <w:rPr>
            <w:color w:val="006AAC"/>
            <w:sz w:val="18"/>
            <w:szCs w:val="18"/>
            <w:u w:val="single"/>
          </w:rPr>
          <w:t xml:space="preserve">Government bodies to promote ethical, responsible and inclusive AI (policy commitment) — Nepal National AI Policy, Policy objectives and strategies (to be confirmed against the official text) (Nepal)</w:t>
        </w:r>
      </w:hyperlink>
    </w:p>
    <w:p>
      <w:pPr>
        <w:pStyle w:val="Heading2"/>
      </w:pPr>
      <w:bookmarkStart w:id="18" w:name="_Toc19"/>
      <w:r>
        <w:t>Establish internal governance structures and measures for AI</w:t>
      </w:r>
      <w:bookmarkEnd w:id="18"/>
    </w:p>
    <w:p>
      <w:pPr>
        <w:pStyle w:val="Body"/>
      </w:pPr>
      <w:r>
        <w:rPr/>
        <w:t xml:space="preserve">Organisations should adapt existing governance to AI: clear roles and responsibilities, board and senior management oversight, risk-management and internal controls, and staff training.</w:t>
      </w:r>
    </w:p>
    <w:p>
      <w:pPr>
        <w:pStyle w:val="Body"/>
      </w:pPr>
      <w:r>
        <w:rPr/>
        <w:t xml:space="preserve">In practice: Assign an AI governance owner and add AI risks to the enterprise risk register.</w:t>
      </w:r>
    </w:p>
    <w:p>
      <w:pPr>
        <w:pStyle w:val="Small"/>
      </w:pPr>
      <w:r>
        <w:rPr>
          <w:color w:val="5D6B7E"/>
          <w:sz w:val="18"/>
          <w:szCs w:val="18"/>
          <w:i w:val="1"/>
          <w:iCs w:val="1"/>
        </w:rPr>
        <w:t xml:space="preserve">Evidence a reviewer would expect: AI governance structure document.</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1" w:history="1">
        <w:r>
          <w:rPr>
            <w:color w:val="006AAC"/>
            <w:sz w:val="18"/>
            <w:szCs w:val="18"/>
            <w:u w:val="single"/>
          </w:rPr>
          <w:t xml:space="preserve">Establish internal governance structures and measures for AI — Singapore Model AI Governance Framework, Second edition, Part on internal governance structures and measures (Singapore)</w:t>
        </w:r>
      </w:hyperlink>
    </w:p>
    <w:p>
      <w:pPr>
        <w:pStyle w:val="Heading2"/>
      </w:pPr>
      <w:bookmarkStart w:id="19" w:name="_Toc20"/>
      <w:r>
        <w:t>Operators of high-impact AI must prepare user-protection measures and keep records of their safety and trust measures</w:t>
      </w:r>
      <w:bookmarkEnd w:id="19"/>
    </w:p>
    <w:p>
      <w:pPr>
        <w:pStyle w:val="Body"/>
      </w:pPr>
      <w:r>
        <w:rPr/>
        <w:t xml:space="preserve">Operators of high-impact AI must prepare and implement a plan to protect users, and must prepare and keep documents describing the measures they take to secure the AI's safety and reliability, so that they can be shown to the Ministry of Science and ICT on request. Further items may be added by Presidential Decree, and the ministry may publish guidelines on how to meet these duties.</w:t>
      </w:r>
    </w:p>
    <w:p>
      <w:pPr>
        <w:pStyle w:val="Body"/>
      </w:pPr>
      <w:r>
        <w:rPr/>
        <w:t xml:space="preserve">In practice: Write a user-protection plan for each high-impact system and keep a dated file of the safety and trust measures applied to it.</w:t>
      </w:r>
    </w:p>
    <w:p>
      <w:pPr>
        <w:pStyle w:val="Small"/>
      </w:pPr>
      <w:r>
        <w:rPr>
          <w:color w:val="5D6B7E"/>
          <w:sz w:val="18"/>
          <w:szCs w:val="18"/>
          <w:i w:val="1"/>
          <w:iCs w:val="1"/>
        </w:rPr>
        <w:t xml:space="preserve">Evidence a reviewer would expect: User protection plan; Safety and reliability measures file.</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2" w:history="1">
        <w:r>
          <w:rPr>
            <w:color w:val="006AAC"/>
            <w:sz w:val="18"/>
            <w:szCs w:val="18"/>
            <w:u w:val="single"/>
          </w:rPr>
          <w:t xml:space="preserve">Operators of high-impact AI must prepare user-protection measures and keep records of their safety and trust measures — Framework Act on the Development of Artificial Intelligence and Establishment of a Foundation for Trust, Article 34(1) (South Korea)</w:t>
        </w:r>
      </w:hyperlink>
    </w:p>
    <w:p>
      <w:pPr>
        <w:pStyle w:val="Heading2"/>
      </w:pPr>
      <w:bookmarkStart w:id="20" w:name="_Toc21"/>
      <w:r>
        <w:t>Foreign AI business operators above the threshold must designate a domestic representative in Korea</w:t>
      </w:r>
      <w:bookmarkEnd w:id="20"/>
    </w:p>
    <w:p>
      <w:pPr>
        <w:pStyle w:val="Body"/>
      </w:pPr>
      <w:r>
        <w:rPr/>
        <w:t xml:space="preserve">An AI business operator without an address or place of business in Korea, whose user numbers or revenue meet the thresholds set by Presidential Decree, must designate in writing a domestic representative with an address in Korea. The representative handles the operator's duties under the Act, including submitting the Article 32 safety results, supporting high-impact AI confirmation and cooperating with fact-finding investigations, and the operator is treated as responsible for the representative's acts.</w:t>
      </w:r>
    </w:p>
    <w:p>
      <w:pPr>
        <w:pStyle w:val="Body"/>
      </w:pPr>
      <w:r>
        <w:rPr/>
        <w:t xml:space="preserve">In practice: Check user and revenue figures against the decree thresholds and appoint a Korean representative by written designation before the duty bites.</w:t>
      </w:r>
    </w:p>
    <w:p>
      <w:pPr>
        <w:pStyle w:val="Small"/>
      </w:pPr>
      <w:r>
        <w:rPr>
          <w:color w:val="5D6B7E"/>
          <w:sz w:val="18"/>
          <w:szCs w:val="18"/>
          <w:i w:val="1"/>
          <w:iCs w:val="1"/>
        </w:rPr>
        <w:t xml:space="preserve">Evidence a reviewer would expect: Written designation of domestic representative.</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3" w:history="1">
        <w:r>
          <w:rPr>
            <w:color w:val="006AAC"/>
            <w:sz w:val="18"/>
            <w:szCs w:val="18"/>
            <w:u w:val="single"/>
          </w:rPr>
          <w:t xml:space="preserve">Foreign AI business operators above the threshold must designate a domestic representative in Korea — Framework Act on the Development of Artificial Intelligence and Establishment of a Foundation for Trust, Article 36 (South Korea)</w:t>
        </w:r>
      </w:hyperlink>
    </w:p>
    <w:p>
      <w:pPr>
        <w:pStyle w:val="Heading2"/>
      </w:pPr>
      <w:bookmarkStart w:id="21" w:name="_Toc22"/>
      <w:r>
        <w:t>Government commitment to AI ethics, governance and regulation (strategy objective)</w:t>
      </w:r>
      <w:bookmarkEnd w:id="21"/>
    </w:p>
    <w:p>
      <w:pPr>
        <w:pStyle w:val="Body"/>
      </w:pPr>
      <w:r>
        <w:rPr/>
        <w:t xml:space="preserve">The strategy commits the government to ensure effective governance and regulation of AI and to promote ethical AI, which led to the AI Ethics Principles and Guidelines and the 2024 UAE AI Charter.</w:t>
      </w:r>
    </w:p>
    <w:p>
      <w:pPr>
        <w:pStyle w:val="Body"/>
      </w:pPr>
      <w:r>
        <w:rPr/>
        <w:t xml:space="preserve">In practice: Reference the UAE AI Ethics Principles and AI Charter in proposals to UAE government entities.</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4" w:history="1">
        <w:r>
          <w:rPr>
            <w:color w:val="006AAC"/>
            <w:sz w:val="18"/>
            <w:szCs w:val="18"/>
            <w:u w:val="single"/>
          </w:rPr>
          <w:t xml:space="preserve">Government commitment to AI ethics, governance and regulation (strategy objective) — UAE AI Strategy 2031, Strategy objectives on governance and ethics (reviewer to cite the section) (United Arab Emirates)</w:t>
        </w:r>
      </w:hyperlink>
    </w:p>
    <w:p>
      <w:pPr>
        <w:pStyle w:val="Heading2"/>
      </w:pPr>
      <w:bookmarkStart w:id="22" w:name="_Toc23"/>
      <w:r>
        <w:t>Use AI in ways that are fair and do not discriminate unlawfully</w:t>
      </w:r>
      <w:bookmarkEnd w:id="22"/>
    </w:p>
    <w:p>
      <w:pPr>
        <w:pStyle w:val="Body"/>
      </w:pPr>
      <w:r>
        <w:rPr/>
        <w:t xml:space="preserve">AI systems should not undermine legal rights, discriminate unfairly or create unfair market outcomes. The Equality Act 2010 and UK GDPR fairness principle make key parts of this binding.</w:t>
      </w:r>
    </w:p>
    <w:p>
      <w:pPr>
        <w:pStyle w:val="Body"/>
      </w:pPr>
      <w:r>
        <w:rPr/>
        <w:t xml:space="preserve">In practice: Test for disparate outcomes across protected characteristics before and after deployment.</w:t>
      </w:r>
    </w:p>
    <w:p>
      <w:pPr>
        <w:pStyle w:val="Small"/>
      </w:pPr>
      <w:r>
        <w:rPr>
          <w:color w:val="5D6B7E"/>
          <w:sz w:val="18"/>
          <w:szCs w:val="18"/>
          <w:i w:val="1"/>
          <w:iCs w:val="1"/>
        </w:rPr>
        <w:t xml:space="preserve">Evidence a reviewer would expect: Bias and fairness testing report.</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5" w:history="1">
        <w:r>
          <w:rPr>
            <w:color w:val="006AAC"/>
            <w:sz w:val="18"/>
            <w:szCs w:val="18"/>
            <w:u w:val="single"/>
          </w:rPr>
          <w:t xml:space="preserve">Use AI in ways that are fair and do not discriminate unlawfully — UK AI regulation framework, Principle 3, Part 3 (United Kingdom)</w:t>
        </w:r>
      </w:hyperlink>
    </w:p>
    <w:p>
      <w:pPr>
        <w:pStyle w:val="Heading2"/>
      </w:pPr>
      <w:bookmarkStart w:id="23" w:name="_Toc24"/>
      <w:r>
        <w:t>Establish accountability and governance for AI</w:t>
      </w:r>
      <w:bookmarkEnd w:id="23"/>
    </w:p>
    <w:p>
      <w:pPr>
        <w:pStyle w:val="Body"/>
      </w:pPr>
      <w:r>
        <w:rPr/>
        <w:t xml:space="preserve">Governance measures should ensure effective oversight of AI supply and use with clear lines of accountability across the lifecycle.</w:t>
      </w:r>
    </w:p>
    <w:p>
      <w:pPr>
        <w:pStyle w:val="Body"/>
      </w:pPr>
      <w:r>
        <w:rPr/>
        <w:t xml:space="preserve">In practice: Name an accountable owner for each AI system and record decisions in a governance log.</w:t>
      </w:r>
    </w:p>
    <w:p>
      <w:pPr>
        <w:pStyle w:val="Small"/>
      </w:pPr>
      <w:r>
        <w:rPr>
          <w:color w:val="5D6B7E"/>
          <w:sz w:val="18"/>
          <w:szCs w:val="18"/>
          <w:i w:val="1"/>
          <w:iCs w:val="1"/>
        </w:rPr>
        <w:t xml:space="preserve">Evidence a reviewer would expect: AI governance policy and RACI.</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6" w:history="1">
        <w:r>
          <w:rPr>
            <w:color w:val="006AAC"/>
            <w:sz w:val="18"/>
            <w:szCs w:val="18"/>
            <w:u w:val="single"/>
          </w:rPr>
          <w:t xml:space="preserve">Establish accountability and governance for AI — UK AI regulation framework, Principle 4, Part 3 (United Kingdom)</w:t>
        </w:r>
      </w:hyperlink>
    </w:p>
    <w:p>
      <w:pPr>
        <w:pStyle w:val="Heading2"/>
      </w:pPr>
      <w:bookmarkStart w:id="24" w:name="_Toc25"/>
      <w:r>
        <w:t>Establish AI governance policies, roles and accountability (Govern)</w:t>
      </w:r>
      <w:bookmarkEnd w:id="24"/>
    </w:p>
    <w:p>
      <w:pPr>
        <w:pStyle w:val="Body"/>
      </w:pPr>
      <w:r>
        <w:rPr/>
        <w:t xml:space="preserve">Govern covers policies and procedures for AI risk, roles and responsibilities, workforce diversity and training, organisational culture, stakeholder engagement, and third-party risk management. It is the cross-cutting function that supports the other three.</w:t>
      </w:r>
    </w:p>
    <w:p>
      <w:pPr>
        <w:pStyle w:val="Body"/>
      </w:pPr>
      <w:r>
        <w:rPr/>
        <w:t xml:space="preserve">In practice: Adopt an AI policy, assign owners, and set a risk-tolerance statement approved by leadership.</w:t>
      </w:r>
    </w:p>
    <w:p>
      <w:pPr>
        <w:pStyle w:val="Small"/>
      </w:pPr>
      <w:r>
        <w:rPr>
          <w:color w:val="5D6B7E"/>
          <w:sz w:val="18"/>
          <w:szCs w:val="18"/>
          <w:i w:val="1"/>
          <w:iCs w:val="1"/>
        </w:rPr>
        <w:t xml:space="preserve">Evidence a reviewer would expect: AI governance policy.</w:t>
      </w:r>
    </w:p>
    <w:p>
      <w:pPr>
        <w:pStyle w:val="Body"/>
      </w:pPr>
      <w:r>
        <w:rPr>
          <w:color w:val="B45309"/>
          <w:b w:val="1"/>
          <w:bCs w:val="1"/>
        </w:rPr>
        <w:t xml:space="preserve">[PLACEHOLDER: The control, process or document by which this duty is met, and who owns it]</w:t>
      </w:r>
    </w:p>
    <w:p>
      <w:pPr>
        <w:pStyle w:val="Small"/>
      </w:pPr>
      <w:r>
        <w:rPr>
          <w:color w:val="5D6B7E"/>
          <w:sz w:val="18"/>
          <w:szCs w:val="18"/>
        </w:rPr>
        <w:t xml:space="preserve">Source: </w:t>
      </w:r>
      <w:hyperlink r:id="rId27" w:history="1">
        <w:r>
          <w:rPr>
            <w:color w:val="006AAC"/>
            <w:sz w:val="18"/>
            <w:szCs w:val="18"/>
            <w:u w:val="single"/>
          </w:rPr>
          <w:t xml:space="preserve">Establish AI governance policies, roles and accountability (Govern) — NIST AI RMF, GOVERN function (United States)</w:t>
        </w:r>
      </w:hyperlink>
    </w:p>
    <w:p>
      <w:pPr>
        <w:pStyle w:val="Heading1"/>
      </w:pPr>
      <w:bookmarkStart w:id="25" w:name="_Toc26"/>
      <w:r>
        <w:t>6. Review</w:t>
      </w:r>
      <w:bookmarkEnd w:id="25"/>
    </w:p>
    <w:p>
      <w:pPr>
        <w:pStyle w:val="Body"/>
      </w:pPr>
      <w:r>
        <w:rPr>
          <w:color w:val="B45309"/>
          <w:b w:val="1"/>
          <w:bCs w:val="1"/>
        </w:rPr>
        <w:t xml:space="preserve">[PLACEHOLDER: Review cycle, triggers for an out-of-cycle review, and version history]</w:t>
      </w:r>
    </w:p>
    <w:sectPr>
      <w:footerReference w:type="default" r:id="rId28"/>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Governance Policy and RACI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i-governance-policy-raci" TargetMode="External"/><Relationship Id="rId8" Type="http://schemas.openxmlformats.org/officeDocument/2006/relationships/hyperlink" Target="https://aipolicytracker.org/obligations/australia-vaiss-accountability-and-risk-management" TargetMode="External"/><Relationship Id="rId9" Type="http://schemas.openxmlformats.org/officeDocument/2006/relationships/hyperlink" Target="https://aipolicytracker.org/obligations/us-california-sb-53-whistleblower-protections" TargetMode="External"/><Relationship Id="rId10" Type="http://schemas.openxmlformats.org/officeDocument/2006/relationships/hyperlink" Target="https://aipolicytracker.org/obligations/eu-ai-act-quality-management-system" TargetMode="External"/><Relationship Id="rId11" Type="http://schemas.openxmlformats.org/officeDocument/2006/relationships/hyperlink" Target="https://aipolicytracker.org/obligations/eu-ai-act-deployer-obligations" TargetMode="External"/><Relationship Id="rId12" Type="http://schemas.openxmlformats.org/officeDocument/2006/relationships/hyperlink" Target="https://aipolicytracker.org/obligations/eu-ai-act-art-16-provider-obligations" TargetMode="External"/><Relationship Id="rId13" Type="http://schemas.openxmlformats.org/officeDocument/2006/relationships/hyperlink" Target="https://aipolicytracker.org/obligations/eu-ai-act-art-21-cooperation-with-authorities" TargetMode="External"/><Relationship Id="rId14" Type="http://schemas.openxmlformats.org/officeDocument/2006/relationships/hyperlink" Target="https://aipolicytracker.org/obligations/eu-ai-act-art-22-authorised-representative" TargetMode="External"/><Relationship Id="rId15" Type="http://schemas.openxmlformats.org/officeDocument/2006/relationships/hyperlink" Target="https://aipolicytracker.org/obligations/eu-ai-act-art-25-value-chain-becoming-provider" TargetMode="External"/><Relationship Id="rId16" Type="http://schemas.openxmlformats.org/officeDocument/2006/relationships/hyperlink" Target="https://aipolicytracker.org/obligations/eu-ai-act-art-26-10-post-remote-biometric-identification-authorisation" TargetMode="External"/><Relationship Id="rId17" Type="http://schemas.openxmlformats.org/officeDocument/2006/relationships/hyperlink" Target="https://aipolicytracker.org/obligations/eu-ai-act-art-52-systemic-risk-notification" TargetMode="External"/><Relationship Id="rId18" Type="http://schemas.openxmlformats.org/officeDocument/2006/relationships/hyperlink" Target="https://aipolicytracker.org/obligations/eu-ai-act-art-54-gpai-authorised-representative" TargetMode="External"/><Relationship Id="rId19" Type="http://schemas.openxmlformats.org/officeDocument/2006/relationships/hyperlink" Target="https://aipolicytracker.org/obligations/india-ai-guidelines-principles-and-risk-based-governance" TargetMode="External"/><Relationship Id="rId20" Type="http://schemas.openxmlformats.org/officeDocument/2006/relationships/hyperlink" Target="https://aipolicytracker.org/obligations/nepal-ai-policy-responsible-ai-principles" TargetMode="External"/><Relationship Id="rId21" Type="http://schemas.openxmlformats.org/officeDocument/2006/relationships/hyperlink" Target="https://aipolicytracker.org/obligations/singapore-mgf-internal-governance" TargetMode="External"/><Relationship Id="rId22" Type="http://schemas.openxmlformats.org/officeDocument/2006/relationships/hyperlink" Target="https://aipolicytracker.org/obligations/south-korea-ai-basic-act-art-34-high-impact-ai-user-protection-and-documentation" TargetMode="External"/><Relationship Id="rId23" Type="http://schemas.openxmlformats.org/officeDocument/2006/relationships/hyperlink" Target="https://aipolicytracker.org/obligations/south-korea-ai-basic-act-art-36-domestic-representative" TargetMode="External"/><Relationship Id="rId24" Type="http://schemas.openxmlformats.org/officeDocument/2006/relationships/hyperlink" Target="https://aipolicytracker.org/obligations/uae-ai-strategy-ethics-and-governance-commitment" TargetMode="External"/><Relationship Id="rId25" Type="http://schemas.openxmlformats.org/officeDocument/2006/relationships/hyperlink" Target="https://aipolicytracker.org/obligations/uk-principles-fairness" TargetMode="External"/><Relationship Id="rId26" Type="http://schemas.openxmlformats.org/officeDocument/2006/relationships/hyperlink" Target="https://aipolicytracker.org/obligations/uk-principles-accountability-governance" TargetMode="External"/><Relationship Id="rId27" Type="http://schemas.openxmlformats.org/officeDocument/2006/relationships/hyperlink" Target="https://aipolicytracker.org/obligations/us-nist-ai-rmf-govern"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Governance Policy and RACI</dc:title>
  <dc:description>The governance policy an AI management system needs, built from the recorded governance duties, with a RACI matrix over every recorded control.</dc:description>
  <dc:subject/>
  <cp:keywords/>
  <cp:category/>
  <cp:lastModifiedBy/>
  <dcterms:created xsi:type="dcterms:W3CDTF">2026-09-26T13:05:20+00:00</dcterms:created>
  <dcterms:modified xsi:type="dcterms:W3CDTF">2026-09-26T13:05:20+00:00</dcterms:modified>
</cp:coreProperties>
</file>

<file path=docProps/custom.xml><?xml version="1.0" encoding="utf-8"?>
<Properties xmlns="http://schemas.openxmlformats.org/officeDocument/2006/custom-properties" xmlns:vt="http://schemas.openxmlformats.org/officeDocument/2006/docPropsVTypes"/>
</file>