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Incident Response Playbook and Log</w:t>
      </w:r>
    </w:p>
    <w:p>
      <w:pPr>
        <w:pStyle w:val="Body"/>
      </w:pPr>
      <w:r>
        <w:rPr/>
        <w:t xml:space="preserve">Detect, contain, report and learn: a playbook built from the recorded incident-handling duties, with the reporting deadlines they set, and a log that computes them.</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https://aipolicytracker.org/templates/ai-incident-response-playbook</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1. What counts as an incident</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2. Roles</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3. The playbook</w:t>
        </w:r>
        <w:r>
          <w:tab/>
        </w:r>
        <w:r>
          <w:fldChar w:fldCharType="begin"/>
        </w:r>
        <w:r>
          <w:instrText xml:space="preserve">PAGEREF 3 \h</w:instrText>
        </w:r>
        <w:r>
          <w:fldChar w:fldCharType="end"/>
        </w:r>
      </w:hyperlink>
    </w:p>
    <w:p>
      <w:pPr>
        <w:tabs>
          <w:tab w:val="right" w:leader="dot" w:pos="9062"/>
        </w:tabs>
        <w:ind w:left="200"/>
      </w:pPr>
      <w:hyperlink w:anchor="_Toc4" w:history="1">
        <w:r>
          <w:rPr>
            <w:sz w:val="20"/>
            <w:szCs w:val="20"/>
          </w:rPr>
          <w:t>Detect</w:t>
        </w:r>
        <w:r>
          <w:tab/>
        </w:r>
        <w:r>
          <w:fldChar w:fldCharType="begin"/>
        </w:r>
        <w:r>
          <w:instrText xml:space="preserve">PAGEREF 4 \h</w:instrText>
        </w:r>
        <w:r>
          <w:fldChar w:fldCharType="end"/>
        </w:r>
      </w:hyperlink>
    </w:p>
    <w:p>
      <w:pPr>
        <w:tabs>
          <w:tab w:val="right" w:leader="dot" w:pos="9062"/>
        </w:tabs>
        <w:ind w:left="200"/>
      </w:pPr>
      <w:hyperlink w:anchor="_Toc5" w:history="1">
        <w:r>
          <w:rPr>
            <w:sz w:val="20"/>
            <w:szCs w:val="20"/>
          </w:rPr>
          <w:t>Contain</w:t>
        </w:r>
        <w:r>
          <w:tab/>
        </w:r>
        <w:r>
          <w:fldChar w:fldCharType="begin"/>
        </w:r>
        <w:r>
          <w:instrText xml:space="preserve">PAGEREF 5 \h</w:instrText>
        </w:r>
        <w:r>
          <w:fldChar w:fldCharType="end"/>
        </w:r>
      </w:hyperlink>
    </w:p>
    <w:p>
      <w:pPr>
        <w:tabs>
          <w:tab w:val="right" w:leader="dot" w:pos="9062"/>
        </w:tabs>
        <w:ind w:left="200"/>
      </w:pPr>
      <w:hyperlink w:anchor="_Toc6" w:history="1">
        <w:r>
          <w:rPr>
            <w:sz w:val="20"/>
            <w:szCs w:val="20"/>
          </w:rPr>
          <w:t>Assess and report</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Recover and learn</w:t>
        </w:r>
        <w:r>
          <w:tab/>
        </w:r>
        <w:r>
          <w:fldChar w:fldCharType="begin"/>
        </w:r>
        <w:r>
          <w:instrText xml:space="preserve">PAGEREF 7 \h</w:instrText>
        </w:r>
        <w:r>
          <w:fldChar w:fldCharType="end"/>
        </w:r>
      </w:hyperlink>
    </w:p>
    <w:p>
      <w:pPr>
        <w:tabs>
          <w:tab w:val="right" w:leader="dot" w:pos="9062"/>
        </w:tabs>
      </w:pPr>
      <w:hyperlink w:anchor="_Toc8" w:history="1">
        <w:r>
          <w:rPr>
            <w:sz w:val="20"/>
            <w:szCs w:val="20"/>
          </w:rPr>
          <w:t>4. Reporting duties on record</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Report critical safety incidents to the Office of Emergency Services</w:t>
        </w:r>
        <w:r>
          <w:tab/>
        </w:r>
        <w:r>
          <w:fldChar w:fldCharType="begin"/>
        </w:r>
        <w:r>
          <w:instrText xml:space="preserve">PAGEREF 9 \h</w:instrText>
        </w:r>
        <w:r>
          <w:fldChar w:fldCharType="end"/>
        </w:r>
      </w:hyperlink>
    </w:p>
    <w:p>
      <w:pPr>
        <w:tabs>
          <w:tab w:val="right" w:leader="dot" w:pos="9062"/>
        </w:tabs>
        <w:ind w:left="200"/>
      </w:pPr>
      <w:hyperlink w:anchor="_Toc10" w:history="1">
        <w:r>
          <w:rPr>
            <w:sz w:val="20"/>
            <w:szCs w:val="20"/>
          </w:rPr>
          <w:t>Developers must notify the Attorney General and deployers of discovered algorithmic discrimination</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Deployers must notify the Attorney General of discovered algorithmic discrimination</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Operate a post-market monitoring system</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Report serious incidents to market surveillance authorities</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Providers must take corrective action and inform the supply chain about non-conforming high-risk AI</w:t>
        </w:r>
        <w:r>
          <w:tab/>
        </w:r>
        <w:r>
          <w:fldChar w:fldCharType="begin"/>
        </w:r>
        <w:r>
          <w:instrText xml:space="preserve">PAGEREF 14 \h</w:instrText>
        </w:r>
        <w:r>
          <w:fldChar w:fldCharType="end"/>
        </w:r>
      </w:hyperlink>
    </w:p>
    <w:p>
      <w:pPr>
        <w:tabs>
          <w:tab w:val="right" w:leader="dot" w:pos="9062"/>
        </w:tabs>
        <w:ind w:left="200"/>
      </w:pPr>
      <w:hyperlink w:anchor="_Toc15" w:history="1">
        <w:r>
          <w:rPr>
            <w:sz w:val="20"/>
            <w:szCs w:val="20"/>
          </w:rPr>
          <w:t>Deployers must monitor high-risk AI, suspend use on risk and report serious incidents</w:t>
        </w:r>
        <w:r>
          <w:tab/>
        </w:r>
        <w:r>
          <w:fldChar w:fldCharType="begin"/>
        </w:r>
        <w:r>
          <w:instrText xml:space="preserve">PAGEREF 15 \h</w:instrText>
        </w:r>
        <w:r>
          <w:fldChar w:fldCharType="end"/>
        </w:r>
      </w:hyperlink>
    </w:p>
    <w:p>
      <w:pPr>
        <w:tabs>
          <w:tab w:val="right" w:leader="dot" w:pos="9062"/>
        </w:tabs>
        <w:ind w:left="200"/>
      </w:pPr>
      <w:hyperlink w:anchor="_Toc16" w:history="1">
        <w:r>
          <w:rPr>
            <w:sz w:val="20"/>
            <w:szCs w:val="20"/>
          </w:rPr>
          <w:t>Providers of systemic-risk GPAI models must track and report serious incidents to the AI Office</w:t>
        </w:r>
        <w:r>
          <w:tab/>
        </w:r>
        <w:r>
          <w:fldChar w:fldCharType="begin"/>
        </w:r>
        <w:r>
          <w:instrText xml:space="preserve">PAGEREF 16 \h</w:instrText>
        </w:r>
        <w:r>
          <w:fldChar w:fldCharType="end"/>
        </w:r>
      </w:hyperlink>
    </w:p>
    <w:p>
      <w:pPr>
        <w:tabs>
          <w:tab w:val="right" w:leader="dot" w:pos="9062"/>
        </w:tabs>
        <w:ind w:left="200"/>
      </w:pPr>
      <w:hyperlink w:anchor="_Toc17" w:history="1">
        <w:r>
          <w:rPr>
            <w:sz w:val="20"/>
            <w:szCs w:val="20"/>
          </w:rPr>
          <w:t>Implement reasonable security safeguards and notify breaches</w:t>
        </w:r>
        <w:r>
          <w:tab/>
        </w:r>
        <w:r>
          <w:fldChar w:fldCharType="begin"/>
        </w:r>
        <w:r>
          <w:instrText xml:space="preserve">PAGEREF 17 \h</w:instrText>
        </w:r>
        <w:r>
          <w:fldChar w:fldCharType="end"/>
        </w:r>
      </w:hyperlink>
    </w:p>
    <w:p>
      <w:r>
        <w:fldChar w:fldCharType="end"/>
      </w:r>
    </w:p>
    <w:p>
      <w:r>
        <w:br w:type="page"/>
      </w:r>
    </w:p>
    <w:p>
      <w:pPr>
        <w:pStyle w:val="Heading1"/>
      </w:pPr>
      <w:bookmarkStart w:id="0" w:name="_Toc1"/>
      <w:r>
        <w:t>1. What counts as an incident</w:t>
      </w:r>
      <w:bookmarkEnd w:id="0"/>
    </w:p>
    <w:p>
      <w:pPr>
        <w:pStyle w:val="Body"/>
      </w:pPr>
      <w:r>
        <w:rPr/>
        <w:t xml:space="preserve">An AI incident is an event where an AI system's output or behaviour caused, or nearly caused, harm to a person, an organisation or the environment, or a failure that would breach a recorded duty. Severity is set on the scale below.</w:t>
      </w:r>
    </w:p>
    <w:tbl>
      <w:tblGrid>
        <w:gridCol w:w="3200" w:type="dxa"/>
        <w:gridCol w:w="3200" w:type="dxa"/>
        <w:gridCol w:w="3200" w:type="dxa"/>
      </w:tblGrid>
      <w:tblPr>
        <w:tblStyle w:val="Grid"/>
      </w:tblPr>
      <w:tr>
        <w:trPr>
          <w:tblHeader w:val="1"/>
        </w:trPr>
        <w:tc>
          <w:tcPr>
            <w:tcW w:w="3200" w:type="dxa"/>
            <w:shd w:val="clear" w:fill="E8EDF3"/>
            <w:noWrap/>
          </w:tcPr>
          <w:p>
            <w:pPr/>
            <w:r>
              <w:rPr>
                <w:sz w:val="18"/>
                <w:szCs w:val="18"/>
                <w:b w:val="1"/>
                <w:bCs w:val="1"/>
              </w:rPr>
              <w:t xml:space="preserve">Severity</w:t>
            </w:r>
          </w:p>
        </w:tc>
        <w:tc>
          <w:tcPr>
            <w:tcW w:w="3200" w:type="dxa"/>
            <w:shd w:val="clear" w:fill="E8EDF3"/>
            <w:noWrap/>
          </w:tcPr>
          <w:p>
            <w:pPr/>
            <w:r>
              <w:rPr>
                <w:sz w:val="18"/>
                <w:szCs w:val="18"/>
                <w:b w:val="1"/>
                <w:bCs w:val="1"/>
              </w:rPr>
              <w:t xml:space="preserve">Definition</w:t>
            </w:r>
          </w:p>
        </w:tc>
        <w:tc>
          <w:tcPr>
            <w:tcW w:w="3200" w:type="dxa"/>
            <w:shd w:val="clear" w:fill="E8EDF3"/>
            <w:noWrap/>
          </w:tcPr>
          <w:p>
            <w:pPr/>
            <w:r>
              <w:rPr>
                <w:sz w:val="18"/>
                <w:szCs w:val="18"/>
                <w:b w:val="1"/>
                <w:bCs w:val="1"/>
              </w:rPr>
              <w:t xml:space="preserve">Response</w:t>
            </w:r>
          </w:p>
        </w:tc>
      </w:tr>
      <w:tr>
        <w:trPr/>
        <w:tc>
          <w:tcPr>
            <w:tcW w:w="3200" w:type="dxa"/>
            <w:noWrap/>
          </w:tcPr>
          <w:p>
            <w:pPr/>
            <w:r>
              <w:rPr>
                <w:sz w:val="18"/>
                <w:szCs w:val="18"/>
              </w:rPr>
              <w:t xml:space="preserve">Critical</w:t>
            </w:r>
          </w:p>
        </w:tc>
        <w:tc>
          <w:tcPr>
            <w:tcW w:w="3200" w:type="dxa"/>
            <w:noWrap/>
          </w:tcPr>
          <w:p>
            <w:pPr/>
            <w:r>
              <w:rPr>
                <w:sz w:val="18"/>
                <w:szCs w:val="18"/>
              </w:rPr>
              <w:t xml:space="preserve">Serious harm to a person, a breach of a prohibited practice, or a regulator-reportable event</w:t>
            </w:r>
          </w:p>
        </w:tc>
        <w:tc>
          <w:tcPr>
            <w:tcW w:w="3200" w:type="dxa"/>
            <w:noWrap/>
          </w:tcPr>
          <w:p>
            <w:pPr/>
            <w:r>
              <w:rPr>
                <w:sz w:val="18"/>
                <w:szCs w:val="18"/>
              </w:rPr>
              <w:t xml:space="preserve">Stop the system; convene the incident team within 1 hour; assess reporting duties same day</w:t>
            </w:r>
          </w:p>
        </w:tc>
      </w:tr>
      <w:tr>
        <w:trPr/>
        <w:tc>
          <w:tcPr>
            <w:tcW w:w="3200" w:type="dxa"/>
            <w:noWrap/>
          </w:tcPr>
          <w:p>
            <w:pPr/>
            <w:r>
              <w:rPr>
                <w:sz w:val="18"/>
                <w:szCs w:val="18"/>
              </w:rPr>
              <w:t xml:space="preserve">High</w:t>
            </w:r>
          </w:p>
        </w:tc>
        <w:tc>
          <w:tcPr>
            <w:tcW w:w="3200" w:type="dxa"/>
            <w:noWrap/>
          </w:tcPr>
          <w:p>
            <w:pPr/>
            <w:r>
              <w:rPr>
                <w:sz w:val="18"/>
                <w:szCs w:val="18"/>
              </w:rPr>
              <w:t xml:space="preserve">Harm or a near miss affecting several people, or a material control failure</w:t>
            </w:r>
          </w:p>
        </w:tc>
        <w:tc>
          <w:tcPr>
            <w:tcW w:w="3200" w:type="dxa"/>
            <w:noWrap/>
          </w:tcPr>
          <w:p>
            <w:pPr/>
            <w:r>
              <w:rPr>
                <w:sz w:val="18"/>
                <w:szCs w:val="18"/>
              </w:rPr>
              <w:t xml:space="preserve">Contain within 24 hours; assess reporting duties</w:t>
            </w:r>
          </w:p>
        </w:tc>
      </w:tr>
      <w:tr>
        <w:trPr/>
        <w:tc>
          <w:tcPr>
            <w:tcW w:w="3200" w:type="dxa"/>
            <w:noWrap/>
          </w:tcPr>
          <w:p>
            <w:pPr/>
            <w:r>
              <w:rPr>
                <w:sz w:val="18"/>
                <w:szCs w:val="18"/>
              </w:rPr>
              <w:t xml:space="preserve">Medium</w:t>
            </w:r>
          </w:p>
        </w:tc>
        <w:tc>
          <w:tcPr>
            <w:tcW w:w="3200" w:type="dxa"/>
            <w:noWrap/>
          </w:tcPr>
          <w:p>
            <w:pPr/>
            <w:r>
              <w:rPr>
                <w:sz w:val="18"/>
                <w:szCs w:val="18"/>
              </w:rPr>
              <w:t xml:space="preserve">Limited harm, contained, no reporting duty</w:t>
            </w:r>
          </w:p>
        </w:tc>
        <w:tc>
          <w:tcPr>
            <w:tcW w:w="3200" w:type="dxa"/>
            <w:noWrap/>
          </w:tcPr>
          <w:p>
            <w:pPr/>
            <w:r>
              <w:rPr>
                <w:sz w:val="18"/>
                <w:szCs w:val="18"/>
              </w:rPr>
              <w:t xml:space="preserve">Fix within the sprint; log</w:t>
            </w:r>
          </w:p>
        </w:tc>
      </w:tr>
      <w:tr>
        <w:trPr/>
        <w:tc>
          <w:tcPr>
            <w:tcW w:w="3200" w:type="dxa"/>
            <w:noWrap/>
          </w:tcPr>
          <w:p>
            <w:pPr/>
            <w:r>
              <w:rPr>
                <w:sz w:val="18"/>
                <w:szCs w:val="18"/>
              </w:rPr>
              <w:t xml:space="preserve">Low</w:t>
            </w:r>
          </w:p>
        </w:tc>
        <w:tc>
          <w:tcPr>
            <w:tcW w:w="3200" w:type="dxa"/>
            <w:noWrap/>
          </w:tcPr>
          <w:p>
            <w:pPr/>
            <w:r>
              <w:rPr>
                <w:sz w:val="18"/>
                <w:szCs w:val="18"/>
              </w:rPr>
              <w:t xml:space="preserve">No harm; a defect or a complaint</w:t>
            </w:r>
          </w:p>
        </w:tc>
        <w:tc>
          <w:tcPr>
            <w:tcW w:w="3200" w:type="dxa"/>
            <w:noWrap/>
          </w:tcPr>
          <w:p>
            <w:pPr/>
            <w:r>
              <w:rPr>
                <w:sz w:val="18"/>
                <w:szCs w:val="18"/>
              </w:rPr>
              <w:t xml:space="preserve">Log; review at the next cycle</w:t>
            </w:r>
          </w:p>
        </w:tc>
      </w:tr>
    </w:tbl>
    <w:p/>
    <w:p>
      <w:pPr>
        <w:pStyle w:val="Heading1"/>
      </w:pPr>
      <w:bookmarkStart w:id="1" w:name="_Toc2"/>
      <w:r>
        <w:t>2. Roles</w:t>
      </w:r>
      <w:bookmarkEnd w:id="1"/>
    </w:p>
    <w:p>
      <w:pPr>
        <w:pStyle w:val="Body"/>
      </w:pPr>
      <w:r>
        <w:rPr>
          <w:color w:val="B45309"/>
          <w:b w:val="1"/>
          <w:bCs w:val="1"/>
        </w:rPr>
        <w:t xml:space="preserve">[PLACEHOLDER: Incident lead, system owner, legal, communications, and who decides on regulator notification]</w:t>
      </w:r>
    </w:p>
    <w:p>
      <w:pPr>
        <w:pStyle w:val="Heading1"/>
      </w:pPr>
      <w:bookmarkStart w:id="2" w:name="_Toc3"/>
      <w:r>
        <w:t>3. The playbook</w:t>
      </w:r>
      <w:bookmarkEnd w:id="2"/>
    </w:p>
    <w:p>
      <w:pPr>
        <w:pStyle w:val="Heading2"/>
      </w:pPr>
      <w:bookmarkStart w:id="3" w:name="_Toc4"/>
      <w:r>
        <w:t>Detect</w:t>
      </w:r>
      <w:bookmarkEnd w:id="3"/>
    </w:p>
    <w:p>
      <w:pPr>
        <w:pStyle w:val="Body"/>
        <w:numPr>
          <w:ilvl w:val="0"/>
          <w:numId w:val="8"/>
        </w:numPr>
      </w:pPr>
      <w:r>
        <w:rPr/>
        <w:t xml:space="preserve">Monitoring alerts, user reports, complaints, overseer overrides, vendor notices.</w:t>
      </w:r>
    </w:p>
    <w:p>
      <w:pPr>
        <w:pStyle w:val="Body"/>
        <w:numPr>
          <w:ilvl w:val="0"/>
          <w:numId w:val="8"/>
        </w:numPr>
      </w:pPr>
      <w:r>
        <w:rPr/>
        <w:t xml:space="preserve">Open a log entry within the hour of detection; the reporting clock may already be running.</w:t>
      </w:r>
    </w:p>
    <w:p>
      <w:pPr>
        <w:pStyle w:val="Heading2"/>
      </w:pPr>
      <w:bookmarkStart w:id="4" w:name="_Toc5"/>
      <w:r>
        <w:t>Contain</w:t>
      </w:r>
      <w:bookmarkEnd w:id="4"/>
    </w:p>
    <w:p>
      <w:pPr>
        <w:pStyle w:val="Body"/>
        <w:numPr>
          <w:ilvl w:val="0"/>
          <w:numId w:val="8"/>
        </w:numPr>
      </w:pPr>
      <w:r>
        <w:rPr/>
        <w:t xml:space="preserve">Suspend or roll back the system if the severity warrants it.</w:t>
      </w:r>
    </w:p>
    <w:p>
      <w:pPr>
        <w:pStyle w:val="Body"/>
        <w:numPr>
          <w:ilvl w:val="0"/>
          <w:numId w:val="8"/>
        </w:numPr>
      </w:pPr>
      <w:r>
        <w:rPr/>
        <w:t xml:space="preserve">Preserve logs, inputs and outputs; do not delete.</w:t>
      </w:r>
    </w:p>
    <w:p>
      <w:pPr>
        <w:pStyle w:val="Heading2"/>
      </w:pPr>
      <w:bookmarkStart w:id="5" w:name="_Toc6"/>
      <w:r>
        <w:t>Assess and report</w:t>
      </w:r>
      <w:bookmarkEnd w:id="5"/>
    </w:p>
    <w:p>
      <w:pPr>
        <w:pStyle w:val="Body"/>
      </w:pPr>
      <w:r>
        <w:rPr/>
        <w:t xml:space="preserve">Decide whether a recorded reporting duty applies, using the duties below, and notify the regulator within the deadline the duty sets. The log computes the deadline from the detection date.</w:t>
      </w:r>
    </w:p>
    <w:p>
      <w:pPr>
        <w:pStyle w:val="Heading2"/>
      </w:pPr>
      <w:bookmarkStart w:id="6" w:name="_Toc7"/>
      <w:r>
        <w:t>Recover and learn</w:t>
      </w:r>
      <w:bookmarkEnd w:id="6"/>
    </w:p>
    <w:p>
      <w:pPr>
        <w:pStyle w:val="Body"/>
        <w:numPr>
          <w:ilvl w:val="0"/>
          <w:numId w:val="8"/>
        </w:numPr>
      </w:pPr>
      <w:r>
        <w:rPr/>
        <w:t xml:space="preserve">Restore with the fix verified.</w:t>
      </w:r>
    </w:p>
    <w:p>
      <w:pPr>
        <w:pStyle w:val="Body"/>
        <w:numPr>
          <w:ilvl w:val="0"/>
          <w:numId w:val="8"/>
        </w:numPr>
      </w:pPr>
      <w:r>
        <w:rPr/>
        <w:t xml:space="preserve">Record lessons; update the risk register and the controls that failed.</w:t>
      </w:r>
    </w:p>
    <w:p>
      <w:pPr>
        <w:pStyle w:val="Heading1"/>
      </w:pPr>
      <w:bookmarkStart w:id="7" w:name="_Toc8"/>
      <w:r>
        <w:t>4. Reporting duties on record</w:t>
      </w:r>
      <w:bookmarkEnd w:id="7"/>
    </w:p>
    <w:p>
      <w:pPr>
        <w:pStyle w:val="Heading2"/>
      </w:pPr>
      <w:bookmarkStart w:id="8" w:name="_Toc9"/>
      <w:r>
        <w:t>Report critical safety incidents to the Office of Emergency Services</w:t>
      </w:r>
      <w:bookmarkEnd w:id="8"/>
    </w:p>
    <w:p>
      <w:pPr>
        <w:pStyle w:val="Body"/>
      </w:pPr>
      <w:r>
        <w:rPr/>
        <w:t xml:space="preserve">Frontier developers must report critical safety incidents to the California Office of Emergency Services within the statutory time limit after discovery, and the Office is to establish a reporting mechanism.</w:t>
      </w:r>
    </w:p>
    <w:p>
      <w:pPr>
        <w:pStyle w:val="Body"/>
      </w:pPr>
      <w:r>
        <w:rPr/>
        <w:t xml:space="preserve">In practice: Define critical-safety-incident criteria and an escalation path with the statutory clock.</w:t>
      </w:r>
    </w:p>
    <w:p>
      <w:pPr>
        <w:pStyle w:val="Small"/>
      </w:pPr>
      <w:r>
        <w:rPr>
          <w:color w:val="5D6B7E"/>
          <w:sz w:val="18"/>
          <w:szCs w:val="18"/>
          <w:i w:val="1"/>
          <w:iCs w:val="1"/>
        </w:rPr>
        <w:t xml:space="preserve">Evidence a reviewer would expect: Incident classification and reporting procedure.</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8" w:history="1">
        <w:r>
          <w:rPr>
            <w:color w:val="006AAC"/>
            <w:sz w:val="18"/>
            <w:szCs w:val="18"/>
            <w:u w:val="single"/>
          </w:rPr>
          <w:t xml:space="preserve">Report critical safety incidents to the Office of Emergency Services — California SB 53, Business and Professions Code, Chapter 25.1 (as added by SB 53) (California (United States))</w:t>
        </w:r>
      </w:hyperlink>
    </w:p>
    <w:p>
      <w:pPr>
        <w:pStyle w:val="Heading2"/>
      </w:pPr>
      <w:bookmarkStart w:id="9" w:name="_Toc10"/>
      <w:r>
        <w:t>Developers must notify the Attorney General and deployers of discovered algorithmic discrimination</w:t>
      </w:r>
      <w:bookmarkEnd w:id="9"/>
    </w:p>
    <w:p>
      <w:pPr>
        <w:pStyle w:val="Body"/>
      </w:pPr>
      <w:r>
        <w:rPr/>
        <w:t xml:space="preserve">Within 90 days after a developer discovers, through ongoing testing or a credible report from a deployer, that a high-risk AI system it developed has caused or is reasonably likely to have caused algorithmic discrimination, it must disclose this to the Colorado Attorney General and to all known deployers or other developers of the system, without unreasonable delay.</w:t>
      </w:r>
    </w:p>
    <w:p>
      <w:pPr>
        <w:pStyle w:val="Body"/>
      </w:pPr>
      <w:r>
        <w:rPr/>
        <w:t xml:space="preserve">In practice: Route bias findings and deployer complaints into an incident process with a 90-day regulatory and customer notification clock.</w:t>
      </w:r>
    </w:p>
    <w:p>
      <w:pPr>
        <w:pStyle w:val="Small"/>
      </w:pPr>
      <w:r>
        <w:rPr>
          <w:color w:val="5D6B7E"/>
          <w:sz w:val="18"/>
          <w:szCs w:val="18"/>
          <w:i w:val="1"/>
          <w:iCs w:val="1"/>
        </w:rPr>
        <w:t xml:space="preserve">Evidence a reviewer would expect: Discrimination incident log with notification dates; Attorney General and deployer notification letters.</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9" w:history="1">
        <w:r>
          <w:rPr>
            <w:color w:val="006AAC"/>
            <w:sz w:val="18"/>
            <w:szCs w:val="18"/>
            <w:u w:val="single"/>
          </w:rPr>
          <w:t xml:space="preserve">Developers must notify the Attorney General and deployers of discovered algorithmic discrimination — Colorado AI Act, C.R.S. 6-1-1702(5) (Colorado (United States))</w:t>
        </w:r>
      </w:hyperlink>
    </w:p>
    <w:p>
      <w:pPr>
        <w:pStyle w:val="Heading2"/>
      </w:pPr>
      <w:bookmarkStart w:id="10" w:name="_Toc11"/>
      <w:r>
        <w:t>Deployers must notify the Attorney General of discovered algorithmic discrimination</w:t>
      </w:r>
      <w:bookmarkEnd w:id="10"/>
    </w:p>
    <w:p>
      <w:pPr>
        <w:pStyle w:val="Body"/>
      </w:pPr>
      <w:r>
        <w:rPr/>
        <w:t xml:space="preserve">If a deployer discovers that a high-risk AI system it uses has caused algorithmic discrimination, it must send a notice to the Colorado Attorney General within 90 days of the discovery, in the form the Attorney General prescribes, without unreasonable delay.</w:t>
      </w:r>
    </w:p>
    <w:p>
      <w:pPr>
        <w:pStyle w:val="Body"/>
      </w:pPr>
      <w:r>
        <w:rPr/>
        <w:t xml:space="preserve">In practice: Add a 90-day Attorney General notification step to the incident playbook for consequential-decision systems.</w:t>
      </w:r>
    </w:p>
    <w:p>
      <w:pPr>
        <w:pStyle w:val="Small"/>
      </w:pPr>
      <w:r>
        <w:rPr>
          <w:color w:val="5D6B7E"/>
          <w:sz w:val="18"/>
          <w:szCs w:val="18"/>
          <w:i w:val="1"/>
          <w:iCs w:val="1"/>
        </w:rPr>
        <w:t xml:space="preserve">Evidence a reviewer would expect: Attorney General notification record.</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0" w:history="1">
        <w:r>
          <w:rPr>
            <w:color w:val="006AAC"/>
            <w:sz w:val="18"/>
            <w:szCs w:val="18"/>
            <w:u w:val="single"/>
          </w:rPr>
          <w:t xml:space="preserve">Deployers must notify the Attorney General of discovered algorithmic discrimination — Colorado AI Act, C.R.S. 6-1-1703(7) (Colorado (United States))</w:t>
        </w:r>
      </w:hyperlink>
    </w:p>
    <w:p>
      <w:pPr>
        <w:pStyle w:val="Heading2"/>
      </w:pPr>
      <w:bookmarkStart w:id="11" w:name="_Toc12"/>
      <w:r>
        <w:t>Operate a post-market monitoring system</w:t>
      </w:r>
      <w:bookmarkEnd w:id="11"/>
    </w:p>
    <w:p>
      <w:pPr>
        <w:pStyle w:val="Body"/>
      </w:pPr>
      <w:r>
        <w:rPr/>
        <w:t xml:space="preserve">Providers must establish and document a post-market monitoring system proportionate to the nature of the AI technology and its risks, actively and systematically collecting and analysing performance data throughout the system's lifetime, based on a monitoring plan that is part of the technical documentation. The Commission is to adopt a template for the plan.</w:t>
      </w:r>
    </w:p>
    <w:p>
      <w:pPr>
        <w:pStyle w:val="Body"/>
      </w:pPr>
      <w:r>
        <w:rPr/>
        <w:t xml:space="preserve">In practice: Define performance and drift indicators, feedback channels and review cadence in a monitoring plan.</w:t>
      </w:r>
    </w:p>
    <w:p>
      <w:pPr>
        <w:pStyle w:val="Small"/>
      </w:pPr>
      <w:r>
        <w:rPr>
          <w:color w:val="5D6B7E"/>
          <w:sz w:val="18"/>
          <w:szCs w:val="18"/>
          <w:i w:val="1"/>
          <w:iCs w:val="1"/>
        </w:rPr>
        <w:t xml:space="preserve">Evidence a reviewer would expect: Post-market monitoring plan and periodic reports.</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1" w:history="1">
        <w:r>
          <w:rPr>
            <w:color w:val="006AAC"/>
            <w:sz w:val="18"/>
            <w:szCs w:val="18"/>
            <w:u w:val="single"/>
          </w:rPr>
          <w:t xml:space="preserve">Operate a post-market monitoring system — EU AI Act, Article 72 (European Union)</w:t>
        </w:r>
      </w:hyperlink>
    </w:p>
    <w:p>
      <w:pPr>
        <w:pStyle w:val="Heading2"/>
      </w:pPr>
      <w:bookmarkStart w:id="12" w:name="_Toc13"/>
      <w:r>
        <w:t>Report serious incidents to market surveillance authorities</w:t>
      </w:r>
      <w:bookmarkEnd w:id="12"/>
    </w:p>
    <w:p>
      <w:pPr>
        <w:pStyle w:val="Body"/>
      </w:pPr>
      <w:r>
        <w:rPr/>
        <w:t xml:space="preserve">Providers of high-risk AI systems must report serious incidents to the market-surveillance authority of the Member State where the incident occurred, immediately after establishing a causal link (or reasonable likelihood) and no later than 15 days after becoming aware, with shorter limits for the most serious cases such as widespread infringements or death. Deployers must inform the provider and authorities when they identify a serious incident.</w:t>
      </w:r>
    </w:p>
    <w:p>
      <w:pPr>
        <w:pStyle w:val="Body"/>
      </w:pPr>
      <w:r>
        <w:rPr/>
        <w:t xml:space="preserve">In practice: Add AI serious-incident criteria and time limits to your existing incident-response playbook.</w:t>
      </w:r>
    </w:p>
    <w:p>
      <w:pPr>
        <w:pStyle w:val="Small"/>
      </w:pPr>
      <w:r>
        <w:rPr>
          <w:color w:val="5D6B7E"/>
          <w:sz w:val="18"/>
          <w:szCs w:val="18"/>
          <w:i w:val="1"/>
          <w:iCs w:val="1"/>
        </w:rPr>
        <w:t xml:space="preserve">Evidence a reviewer would expect: AI incident response procedure; Incident log and authority notifications.</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2" w:history="1">
        <w:r>
          <w:rPr>
            <w:color w:val="006AAC"/>
            <w:sz w:val="18"/>
            <w:szCs w:val="18"/>
            <w:u w:val="single"/>
          </w:rPr>
          <w:t xml:space="preserve">Report serious incidents to market surveillance authorities — EU AI Act, Article 73 (European Union)</w:t>
        </w:r>
      </w:hyperlink>
    </w:p>
    <w:p>
      <w:pPr>
        <w:pStyle w:val="Heading2"/>
      </w:pPr>
      <w:bookmarkStart w:id="13" w:name="_Toc14"/>
      <w:r>
        <w:t>Providers must take corrective action and inform the supply chain about non-conforming high-risk AI</w:t>
      </w:r>
      <w:bookmarkEnd w:id="13"/>
    </w:p>
    <w:p>
      <w:pPr>
        <w:pStyle w:val="Body"/>
      </w:pPr>
      <w:r>
        <w:rPr/>
        <w:t xml:space="preserve">A provider that considers, or has reason to consider, that a high-risk system it has placed on the market is not in conformity must immediately correct it, withdraw it, disable it or recall it as appropriate, and inform the distributors, deployers, authorised representative and importers. Where the system presents a risk to health, safety or fundamental rights and the provider becomes aware of that risk, it must immediately investigate the causes together with the reporting deployer and inform the market surveillance authorities and, where relevant, the notified body.</w:t>
      </w:r>
    </w:p>
    <w:p>
      <w:pPr>
        <w:pStyle w:val="Body"/>
      </w:pPr>
      <w:r>
        <w:rPr/>
        <w:t xml:space="preserve">In practice: Add a non-conformity and recall procedure for AI products with a supply-chain notification list and an authority-notification step.</w:t>
      </w:r>
    </w:p>
    <w:p>
      <w:pPr>
        <w:pStyle w:val="Small"/>
      </w:pPr>
      <w:r>
        <w:rPr>
          <w:color w:val="5D6B7E"/>
          <w:sz w:val="18"/>
          <w:szCs w:val="18"/>
          <w:i w:val="1"/>
          <w:iCs w:val="1"/>
        </w:rPr>
        <w:t xml:space="preserve">Evidence a reviewer would expect: Corrective action and recall procedure for AI systems; Non-conformity investigation record.</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3" w:history="1">
        <w:r>
          <w:rPr>
            <w:color w:val="006AAC"/>
            <w:sz w:val="18"/>
            <w:szCs w:val="18"/>
            <w:u w:val="single"/>
          </w:rPr>
          <w:t xml:space="preserve">Providers must take corrective action and inform the supply chain about non-conforming high-risk AI — EU AI Act, Article 20 (European Union)</w:t>
        </w:r>
      </w:hyperlink>
    </w:p>
    <w:p>
      <w:pPr>
        <w:pStyle w:val="Heading2"/>
      </w:pPr>
      <w:bookmarkStart w:id="14" w:name="_Toc15"/>
      <w:r>
        <w:t>Deployers must monitor high-risk AI, suspend use on risk and report serious incidents</w:t>
      </w:r>
      <w:bookmarkEnd w:id="14"/>
    </w:p>
    <w:p>
      <w:pPr>
        <w:pStyle w:val="Body"/>
      </w:pPr>
      <w:r>
        <w:rPr/>
        <w:t xml:space="preserve">Deployers must monitor a high-risk AI system's operation against the provider's instructions and feed observations to the provider under Article 72. If they have reason to think the system as used may present a risk to health, safety or fundamental rights, they must inform the provider or distributor and the market surveillance authority without undue delay and suspend use. On a serious incident, they must immediately inform the provider, then the importer or distributor and the authorities. Financial institutions meet this through their internal governance rules.</w:t>
      </w:r>
    </w:p>
    <w:p>
      <w:pPr>
        <w:pStyle w:val="Body"/>
      </w:pPr>
      <w:r>
        <w:rPr/>
        <w:t xml:space="preserve">In practice: Give each high-risk system an operational owner with a kill-switch authority and a written escalation route to the provider and the authority.</w:t>
      </w:r>
    </w:p>
    <w:p>
      <w:pPr>
        <w:pStyle w:val="Small"/>
      </w:pPr>
      <w:r>
        <w:rPr>
          <w:color w:val="5D6B7E"/>
          <w:sz w:val="18"/>
          <w:szCs w:val="18"/>
          <w:i w:val="1"/>
          <w:iCs w:val="1"/>
        </w:rPr>
        <w:t xml:space="preserve">Evidence a reviewer would expect: Operational monitoring log; Suspension and escalation procedure.</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4" w:history="1">
        <w:r>
          <w:rPr>
            <w:color w:val="006AAC"/>
            <w:sz w:val="18"/>
            <w:szCs w:val="18"/>
            <w:u w:val="single"/>
          </w:rPr>
          <w:t xml:space="preserve">Deployers must monitor high-risk AI, suspend use on risk and report serious incidents — EU AI Act, Article 26(5) (European Union)</w:t>
        </w:r>
      </w:hyperlink>
    </w:p>
    <w:p>
      <w:pPr>
        <w:pStyle w:val="Heading2"/>
      </w:pPr>
      <w:bookmarkStart w:id="15" w:name="_Toc16"/>
      <w:r>
        <w:t>Providers of systemic-risk GPAI models must track and report serious incidents to the AI Office</w:t>
      </w:r>
      <w:bookmarkEnd w:id="15"/>
    </w:p>
    <w:p>
      <w:pPr>
        <w:pStyle w:val="Body"/>
      </w:pPr>
      <w:r>
        <w:rPr/>
        <w:t xml:space="preserve">Providers of general-purpose AI models with systemic risk must keep track of, document and report without undue delay to the AI Office and, where relevant, to national competent authorities the relevant information about serious incidents and the possible corrective measures to address them. The General-Purpose AI Code of Practice sets out timelines and content that providers may follow to demonstrate compliance.</w:t>
      </w:r>
    </w:p>
    <w:p>
      <w:pPr>
        <w:pStyle w:val="Body"/>
      </w:pPr>
      <w:r>
        <w:rPr/>
        <w:t xml:space="preserve">In practice: Define serious-incident criteria for the model, a tracking log and an AI Office notification template with owner and clock.</w:t>
      </w:r>
    </w:p>
    <w:p>
      <w:pPr>
        <w:pStyle w:val="Small"/>
      </w:pPr>
      <w:r>
        <w:rPr>
          <w:color w:val="5D6B7E"/>
          <w:sz w:val="18"/>
          <w:szCs w:val="18"/>
          <w:i w:val="1"/>
          <w:iCs w:val="1"/>
        </w:rPr>
        <w:t xml:space="preserve">Evidence a reviewer would expect: Serious incident tracking log for the model; AI Office incident notification.</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5" w:history="1">
        <w:r>
          <w:rPr>
            <w:color w:val="006AAC"/>
            <w:sz w:val="18"/>
            <w:szCs w:val="18"/>
            <w:u w:val="single"/>
          </w:rPr>
          <w:t xml:space="preserve">Providers of systemic-risk GPAI models must track and report serious incidents to the AI Office — EU AI Act, Article 55(1)(c) (European Union)</w:t>
        </w:r>
      </w:hyperlink>
    </w:p>
    <w:p>
      <w:pPr>
        <w:pStyle w:val="Heading2"/>
      </w:pPr>
      <w:bookmarkStart w:id="16" w:name="_Toc17"/>
      <w:r>
        <w:t>Implement reasonable security safeguards and notify breaches</w:t>
      </w:r>
      <w:bookmarkEnd w:id="16"/>
    </w:p>
    <w:p>
      <w:pPr>
        <w:pStyle w:val="Body"/>
      </w:pPr>
      <w:r>
        <w:rPr/>
        <w:t xml:space="preserve">Data Fiduciaries must protect personal data with reasonable security safeguards and, on a personal data breach, inform the Data Protection Board and each affected individual in the form and manner prescribed by the Rules.</w:t>
      </w:r>
    </w:p>
    <w:p>
      <w:pPr>
        <w:pStyle w:val="Body"/>
      </w:pPr>
      <w:r>
        <w:rPr/>
        <w:t xml:space="preserve">In practice: Extend incident response to cover AI training data and model outputs that reveal personal data.</w:t>
      </w:r>
    </w:p>
    <w:p>
      <w:pPr>
        <w:pStyle w:val="Small"/>
      </w:pPr>
      <w:r>
        <w:rPr>
          <w:color w:val="5D6B7E"/>
          <w:sz w:val="18"/>
          <w:szCs w:val="18"/>
          <w:i w:val="1"/>
          <w:iCs w:val="1"/>
        </w:rPr>
        <w:t xml:space="preserve">Evidence a reviewer would expect: Breach notification procedure.</w:t>
      </w:r>
    </w:p>
    <w:p>
      <w:pPr>
        <w:pStyle w:val="Body"/>
      </w:pPr>
      <w:r>
        <w:rPr>
          <w:color w:val="B45309"/>
          <w:b w:val="1"/>
          <w:bCs w:val="1"/>
        </w:rPr>
        <w:t xml:space="preserve">[PLACEHOLDER: Whether this duty applies to the systems in scope, the regulator, and the deadline]</w:t>
      </w:r>
    </w:p>
    <w:p>
      <w:pPr>
        <w:pStyle w:val="Small"/>
      </w:pPr>
      <w:r>
        <w:rPr>
          <w:color w:val="5D6B7E"/>
          <w:sz w:val="18"/>
          <w:szCs w:val="18"/>
        </w:rPr>
        <w:t xml:space="preserve">Source: </w:t>
      </w:r>
      <w:hyperlink r:id="rId16" w:history="1">
        <w:r>
          <w:rPr>
            <w:color w:val="006AAC"/>
            <w:sz w:val="18"/>
            <w:szCs w:val="18"/>
            <w:u w:val="single"/>
          </w:rPr>
          <w:t xml:space="preserve">Implement reasonable security safeguards and notify breaches — India DPDP Act, Section 8(5) and 8(6); DPDP Rules on breach intimation (India)</w:t>
        </w:r>
      </w:hyperlink>
    </w:p>
    <w:sectPr>
      <w:footerReference w:type="default" r:id="rId1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Incident Response Playbook and Log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242B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incident-response-playbook" TargetMode="External"/><Relationship Id="rId8" Type="http://schemas.openxmlformats.org/officeDocument/2006/relationships/hyperlink" Target="https://aipolicytracker.org/obligations/us-california-sb-53-critical-safety-incident-reporting" TargetMode="External"/><Relationship Id="rId9" Type="http://schemas.openxmlformats.org/officeDocument/2006/relationships/hyperlink" Target="https://aipolicytracker.org/obligations/us-colorado-ai-act-developer-disclosure-to-attorney-general" TargetMode="External"/><Relationship Id="rId10" Type="http://schemas.openxmlformats.org/officeDocument/2006/relationships/hyperlink" Target="https://aipolicytracker.org/obligations/us-colorado-ai-act-deployer-disclosure-to-attorney-general" TargetMode="External"/><Relationship Id="rId11" Type="http://schemas.openxmlformats.org/officeDocument/2006/relationships/hyperlink" Target="https://aipolicytracker.org/obligations/eu-ai-act-post-market-monitoring" TargetMode="External"/><Relationship Id="rId12" Type="http://schemas.openxmlformats.org/officeDocument/2006/relationships/hyperlink" Target="https://aipolicytracker.org/obligations/eu-ai-act-serious-incident-reporting" TargetMode="External"/><Relationship Id="rId13" Type="http://schemas.openxmlformats.org/officeDocument/2006/relationships/hyperlink" Target="https://aipolicytracker.org/obligations/eu-ai-act-art-20-corrective-actions-and-information" TargetMode="External"/><Relationship Id="rId14" Type="http://schemas.openxmlformats.org/officeDocument/2006/relationships/hyperlink" Target="https://aipolicytracker.org/obligations/eu-ai-act-art-26-5-deployer-monitoring-and-suspension" TargetMode="External"/><Relationship Id="rId15" Type="http://schemas.openxmlformats.org/officeDocument/2006/relationships/hyperlink" Target="https://aipolicytracker.org/obligations/eu-ai-act-art-55-systemic-risk-incident-reporting" TargetMode="External"/><Relationship Id="rId16" Type="http://schemas.openxmlformats.org/officeDocument/2006/relationships/hyperlink" Target="https://aipolicytracker.org/obligations/india-dpdp-security-and-breach-notification" TargetMode="Externa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Incident Response Playbook and Log</dc:title>
  <dc:description>Detect, contain, report and learn: a playbook built from the recorded incident-handling duties, with the reporting deadlines they set, and a log that computes them.</dc:description>
  <dc:subject/>
  <cp:keywords/>
  <cp:category/>
  <cp:lastModifiedBy/>
  <dcterms:created xsi:type="dcterms:W3CDTF">2026-09-26T13:04:58+00:00</dcterms:created>
  <dcterms:modified xsi:type="dcterms:W3CDTF">2026-09-26T13:04:58+00:00</dcterms:modified>
</cp:coreProperties>
</file>

<file path=docProps/custom.xml><?xml version="1.0" encoding="utf-8"?>
<Properties xmlns="http://schemas.openxmlformats.org/officeDocument/2006/custom-properties" xmlns:vt="http://schemas.openxmlformats.org/officeDocument/2006/docPropsVTypes"/>
</file>