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System Inventory</w:t>
      </w:r>
    </w:p>
    <w:p>
      <w:pPr>
        <w:pStyle w:val="Body"/>
      </w:pPr>
      <w:r>
        <w:rPr/>
        <w:t xml:space="preserve">One row per AI system: purpose, role under the law, jurisdictions, risk tier, data, owner and review dates, with the recorded duties for each role on a reference sheet.</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https://aipolicytracker.org/templates/ai-system-inventory</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Why an inventory</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Fields and what to record</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Duties that require a record of your systems</w:t>
        </w:r>
        <w:r>
          <w:tab/>
        </w:r>
        <w:r>
          <w:fldChar w:fldCharType="begin"/>
        </w:r>
        <w:r>
          <w:instrText xml:space="preserve">PAGEREF 3 \h</w:instrText>
        </w:r>
        <w:r>
          <w:fldChar w:fldCharType="end"/>
        </w:r>
      </w:hyperlink>
    </w:p>
    <w:p>
      <w:pPr>
        <w:tabs>
          <w:tab w:val="right" w:leader="dot" w:pos="9062"/>
        </w:tabs>
        <w:ind w:left="200"/>
      </w:pPr>
      <w:hyperlink w:anchor="_Toc4" w:history="1">
        <w:r>
          <w:rPr>
            <w:sz w:val="20"/>
            <w:szCs w:val="20"/>
          </w:rPr>
          <w:t>Establish accountability processes and a risk-management process (guardrails 1 and 2)</w:t>
        </w:r>
        <w:r>
          <w:tab/>
        </w:r>
        <w:r>
          <w:fldChar w:fldCharType="begin"/>
        </w:r>
        <w:r>
          <w:instrText xml:space="preserve">PAGEREF 4 \h</w:instrText>
        </w:r>
        <w:r>
          <w:fldChar w:fldCharType="end"/>
        </w:r>
      </w:hyperlink>
    </w:p>
    <w:p>
      <w:pPr>
        <w:tabs>
          <w:tab w:val="right" w:leader="dot" w:pos="9062"/>
        </w:tabs>
        <w:ind w:left="200"/>
      </w:pPr>
      <w:hyperlink w:anchor="_Toc5" w:history="1">
        <w:r>
          <w:rPr>
            <w:sz w:val="20"/>
            <w:szCs w:val="20"/>
          </w:rPr>
          <w:t>Frontier developers must protect employees who report catastrophic-risk concerns</w:t>
        </w:r>
        <w:r>
          <w:tab/>
        </w:r>
        <w:r>
          <w:fldChar w:fldCharType="begin"/>
        </w:r>
        <w:r>
          <w:instrText xml:space="preserve">PAGEREF 5 \h</w:instrText>
        </w:r>
        <w:r>
          <w:fldChar w:fldCharType="end"/>
        </w:r>
      </w:hyperlink>
    </w:p>
    <w:p>
      <w:pPr>
        <w:tabs>
          <w:tab w:val="right" w:leader="dot" w:pos="9062"/>
        </w:tabs>
        <w:ind w:left="200"/>
      </w:pPr>
      <w:hyperlink w:anchor="_Toc6" w:history="1">
        <w:r>
          <w:rPr>
            <w:sz w:val="20"/>
            <w:szCs w:val="20"/>
          </w:rPr>
          <w:t>Developers must document high-risk systems and disclose known risks</w:t>
        </w:r>
        <w:r>
          <w:tab/>
        </w:r>
        <w:r>
          <w:fldChar w:fldCharType="begin"/>
        </w:r>
        <w:r>
          <w:instrText xml:space="preserve">PAGEREF 6 \h</w:instrText>
        </w:r>
        <w:r>
          <w:fldChar w:fldCharType="end"/>
        </w:r>
      </w:hyperlink>
    </w:p>
    <w:p>
      <w:pPr>
        <w:tabs>
          <w:tab w:val="right" w:leader="dot" w:pos="9062"/>
        </w:tabs>
        <w:ind w:left="200"/>
      </w:pPr>
      <w:hyperlink w:anchor="_Toc7" w:history="1">
        <w:r>
          <w:rPr>
            <w:sz w:val="20"/>
            <w:szCs w:val="20"/>
          </w:rPr>
          <w:t>Draw up technical documentation before placing a high-risk system on the market</w:t>
        </w:r>
        <w:r>
          <w:tab/>
        </w:r>
        <w:r>
          <w:fldChar w:fldCharType="begin"/>
        </w:r>
        <w:r>
          <w:instrText xml:space="preserve">PAGEREF 7 \h</w:instrText>
        </w:r>
        <w:r>
          <w:fldChar w:fldCharType="end"/>
        </w:r>
      </w:hyperlink>
    </w:p>
    <w:p>
      <w:pPr>
        <w:tabs>
          <w:tab w:val="right" w:leader="dot" w:pos="9062"/>
        </w:tabs>
        <w:ind w:left="200"/>
      </w:pPr>
      <w:hyperlink w:anchor="_Toc8" w:history="1">
        <w:r>
          <w:rPr>
            <w:sz w:val="20"/>
            <w:szCs w:val="20"/>
          </w:rPr>
          <w:t>Design high-risk systems to log events automatically</w:t>
        </w:r>
        <w:r>
          <w:tab/>
        </w:r>
        <w:r>
          <w:fldChar w:fldCharType="begin"/>
        </w:r>
        <w:r>
          <w:instrText xml:space="preserve">PAGEREF 8 \h</w:instrText>
        </w:r>
        <w:r>
          <w:fldChar w:fldCharType="end"/>
        </w:r>
      </w:hyperlink>
    </w:p>
    <w:p>
      <w:pPr>
        <w:tabs>
          <w:tab w:val="right" w:leader="dot" w:pos="9062"/>
        </w:tabs>
        <w:ind w:left="200"/>
      </w:pPr>
      <w:hyperlink w:anchor="_Toc9" w:history="1">
        <w:r>
          <w:rPr>
            <w:sz w:val="20"/>
            <w:szCs w:val="20"/>
          </w:rPr>
          <w:t>Use high-risk AI as instructed, monitor it and inform affected people</w:t>
        </w:r>
        <w:r>
          <w:tab/>
        </w:r>
        <w:r>
          <w:fldChar w:fldCharType="begin"/>
        </w:r>
        <w:r>
          <w:instrText xml:space="preserve">PAGEREF 9 \h</w:instrText>
        </w:r>
        <w:r>
          <w:fldChar w:fldCharType="end"/>
        </w:r>
      </w:hyperlink>
    </w:p>
    <w:p>
      <w:pPr>
        <w:tabs>
          <w:tab w:val="right" w:leader="dot" w:pos="9062"/>
        </w:tabs>
        <w:ind w:left="200"/>
      </w:pPr>
      <w:hyperlink w:anchor="_Toc10" w:history="1">
        <w:r>
          <w:rPr>
            <w:sz w:val="20"/>
            <w:szCs w:val="20"/>
          </w:rPr>
          <w:t>Providers must meet the full set of provider duties for high-risk AI</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Providers must keep high-risk AI documentation for ten years</w:t>
        </w:r>
        <w:r>
          <w:tab/>
        </w:r>
        <w:r>
          <w:fldChar w:fldCharType="begin"/>
        </w:r>
        <w:r>
          <w:instrText xml:space="preserve">PAGEREF 11 \h</w:instrText>
        </w:r>
        <w:r>
          <w:fldChar w:fldCharType="end"/>
        </w:r>
      </w:hyperlink>
    </w:p>
    <w:p>
      <w:pPr>
        <w:tabs>
          <w:tab w:val="right" w:leader="dot" w:pos="9062"/>
        </w:tabs>
        <w:ind w:left="200"/>
      </w:pPr>
      <w:hyperlink w:anchor="_Toc12" w:history="1">
        <w:r>
          <w:rPr>
            <w:sz w:val="20"/>
            <w:szCs w:val="20"/>
          </w:rPr>
          <w:t>Providers must retain automatically generated logs under their control</w:t>
        </w:r>
        <w:r>
          <w:tab/>
        </w:r>
        <w:r>
          <w:fldChar w:fldCharType="begin"/>
        </w:r>
        <w:r>
          <w:instrText xml:space="preserve">PAGEREF 12 \h</w:instrText>
        </w:r>
        <w:r>
          <w:fldChar w:fldCharType="end"/>
        </w:r>
      </w:hyperlink>
    </w:p>
    <w:p>
      <w:pPr>
        <w:tabs>
          <w:tab w:val="right" w:leader="dot" w:pos="9062"/>
        </w:tabs>
        <w:ind w:left="200"/>
      </w:pPr>
      <w:hyperlink w:anchor="_Toc13" w:history="1">
        <w:r>
          <w:rPr>
            <w:sz w:val="20"/>
            <w:szCs w:val="20"/>
          </w:rPr>
          <w:t>Providers must supply conformity evidence and log access to authorities on request</w:t>
        </w:r>
        <w:r>
          <w:tab/>
        </w:r>
        <w:r>
          <w:fldChar w:fldCharType="begin"/>
        </w:r>
        <w:r>
          <w:instrText xml:space="preserve">PAGEREF 13 \h</w:instrText>
        </w:r>
        <w:r>
          <w:fldChar w:fldCharType="end"/>
        </w:r>
      </w:hyperlink>
    </w:p>
    <w:p>
      <w:pPr>
        <w:tabs>
          <w:tab w:val="right" w:leader="dot" w:pos="9062"/>
        </w:tabs>
        <w:ind w:left="200"/>
      </w:pPr>
      <w:hyperlink w:anchor="_Toc14" w:history="1">
        <w:r>
          <w:rPr>
            <w:sz w:val="20"/>
            <w:szCs w:val="20"/>
          </w:rPr>
          <w:t>Non-EU providers must appoint an EU authorised representative for high-risk AI</w:t>
        </w:r>
        <w:r>
          <w:tab/>
        </w:r>
        <w:r>
          <w:fldChar w:fldCharType="begin"/>
        </w:r>
        <w:r>
          <w:instrText xml:space="preserve">PAGEREF 14 \h</w:instrText>
        </w:r>
        <w:r>
          <w:fldChar w:fldCharType="end"/>
        </w:r>
      </w:hyperlink>
    </w:p>
    <w:p>
      <w:pPr>
        <w:tabs>
          <w:tab w:val="right" w:leader="dot" w:pos="9062"/>
        </w:tabs>
        <w:ind w:left="200"/>
      </w:pPr>
      <w:hyperlink w:anchor="_Toc15" w:history="1">
        <w:r>
          <w:rPr>
            <w:sz w:val="20"/>
            <w:szCs w:val="20"/>
          </w:rPr>
          <w:t>Deployers, distributors and importers must assume provider duties when they rebrand or substantially modify high-risk AI</w:t>
        </w:r>
        <w:r>
          <w:tab/>
        </w:r>
        <w:r>
          <w:fldChar w:fldCharType="begin"/>
        </w:r>
        <w:r>
          <w:instrText xml:space="preserve">PAGEREF 15 \h</w:instrText>
        </w:r>
        <w:r>
          <w:fldChar w:fldCharType="end"/>
        </w:r>
      </w:hyperlink>
    </w:p>
    <w:p>
      <w:r>
        <w:fldChar w:fldCharType="end"/>
      </w:r>
    </w:p>
    <w:p>
      <w:r>
        <w:br w:type="page"/>
      </w:r>
    </w:p>
    <w:p>
      <w:pPr>
        <w:pStyle w:val="Heading1"/>
      </w:pPr>
      <w:bookmarkStart w:id="0" w:name="_Toc1"/>
      <w:r>
        <w:t>Why an inventory</w:t>
      </w:r>
      <w:bookmarkEnd w:id="0"/>
    </w:p>
    <w:p>
      <w:pPr>
        <w:pStyle w:val="Body"/>
      </w:pPr>
      <w:r>
        <w:rPr/>
        <w:t xml:space="preserve">Every recorded framework starts from the same question: which AI systems do you have, what are they for, and what is your role in each. The inventory answers it once, and the duties below are the reasons it has to be kept.</w:t>
      </w:r>
    </w:p>
    <w:p>
      <w:pPr>
        <w:pStyle w:val="Heading1"/>
      </w:pPr>
      <w:bookmarkStart w:id="1" w:name="_Toc2"/>
      <w:r>
        <w:t>Fields and what to record</w:t>
      </w:r>
      <w:bookmarkEnd w:id="1"/>
    </w:p>
    <w:tbl>
      <w:tblGrid>
        <w:gridCol w:w="4800" w:type="dxa"/>
        <w:gridCol w:w="4800" w:type="dxa"/>
      </w:tblGrid>
      <w:tblPr>
        <w:tblStyle w:val="Grid"/>
      </w:tblPr>
      <w:tr>
        <w:trPr>
          <w:tblHeader w:val="1"/>
        </w:trPr>
        <w:tc>
          <w:tcPr>
            <w:tcW w:w="4800" w:type="dxa"/>
            <w:shd w:val="clear" w:fill="E8EDF3"/>
            <w:noWrap/>
          </w:tcPr>
          <w:p>
            <w:pPr/>
            <w:r>
              <w:rPr>
                <w:sz w:val="18"/>
                <w:szCs w:val="18"/>
                <w:b w:val="1"/>
                <w:bCs w:val="1"/>
              </w:rPr>
              <w:t xml:space="preserve">Field</w:t>
            </w:r>
          </w:p>
        </w:tc>
        <w:tc>
          <w:tcPr>
            <w:tcW w:w="4800" w:type="dxa"/>
            <w:shd w:val="clear" w:fill="E8EDF3"/>
            <w:noWrap/>
          </w:tcPr>
          <w:p>
            <w:pPr/>
            <w:r>
              <w:rPr>
                <w:sz w:val="18"/>
                <w:szCs w:val="18"/>
                <w:b w:val="1"/>
                <w:bCs w:val="1"/>
              </w:rPr>
              <w:t xml:space="preserve">What to record</w:t>
            </w:r>
          </w:p>
        </w:tc>
      </w:tr>
      <w:tr>
        <w:trPr/>
        <w:tc>
          <w:tcPr>
            <w:tcW w:w="4800" w:type="dxa"/>
            <w:noWrap/>
          </w:tcPr>
          <w:p>
            <w:pPr/>
            <w:r>
              <w:rPr>
                <w:sz w:val="18"/>
                <w:szCs w:val="18"/>
              </w:rPr>
              <w:t xml:space="preserve">System name and purpose</w:t>
            </w:r>
          </w:p>
        </w:tc>
        <w:tc>
          <w:tcPr>
            <w:tcW w:w="4800" w:type="dxa"/>
            <w:noWrap/>
          </w:tcPr>
          <w:p>
            <w:pPr/>
            <w:r>
              <w:rPr>
                <w:sz w:val="18"/>
                <w:szCs w:val="18"/>
              </w:rPr>
              <w:t xml:space="preserve">What the system does and the decision or output it produces, in plain words.</w:t>
            </w:r>
          </w:p>
        </w:tc>
      </w:tr>
      <w:tr>
        <w:trPr/>
        <w:tc>
          <w:tcPr>
            <w:tcW w:w="4800" w:type="dxa"/>
            <w:noWrap/>
          </w:tcPr>
          <w:p>
            <w:pPr/>
            <w:r>
              <w:rPr>
                <w:sz w:val="18"/>
                <w:szCs w:val="18"/>
              </w:rPr>
              <w:t xml:space="preserve">Your role</w:t>
            </w:r>
          </w:p>
        </w:tc>
        <w:tc>
          <w:tcPr>
            <w:tcW w:w="4800" w:type="dxa"/>
            <w:noWrap/>
          </w:tcPr>
          <w:p>
            <w:pPr/>
            <w:r>
              <w:rPr>
                <w:sz w:val="18"/>
                <w:szCs w:val="18"/>
              </w:rPr>
              <w:t xml:space="preserve">Provider, deployer, importer, distributor or authorised representative. The duties differ by role.</w:t>
            </w:r>
          </w:p>
        </w:tc>
      </w:tr>
      <w:tr>
        <w:trPr/>
        <w:tc>
          <w:tcPr>
            <w:tcW w:w="4800" w:type="dxa"/>
            <w:noWrap/>
          </w:tcPr>
          <w:p>
            <w:pPr/>
            <w:r>
              <w:rPr>
                <w:sz w:val="18"/>
                <w:szCs w:val="18"/>
              </w:rPr>
              <w:t xml:space="preserve">Jurisdiction and tier</w:t>
            </w:r>
          </w:p>
        </w:tc>
        <w:tc>
          <w:tcPr>
            <w:tcW w:w="4800" w:type="dxa"/>
            <w:noWrap/>
          </w:tcPr>
          <w:p>
            <w:pPr/>
            <w:r>
              <w:rPr>
                <w:sz w:val="18"/>
                <w:szCs w:val="18"/>
              </w:rPr>
              <w:t xml:space="preserve">Where the system is used and, for the EU AI Act, its risk tier.</w:t>
            </w:r>
          </w:p>
        </w:tc>
      </w:tr>
      <w:tr>
        <w:trPr/>
        <w:tc>
          <w:tcPr>
            <w:tcW w:w="4800" w:type="dxa"/>
            <w:noWrap/>
          </w:tcPr>
          <w:p>
            <w:pPr/>
            <w:r>
              <w:rPr>
                <w:sz w:val="18"/>
                <w:szCs w:val="18"/>
              </w:rPr>
              <w:t xml:space="preserve">Data</w:t>
            </w:r>
          </w:p>
        </w:tc>
        <w:tc>
          <w:tcPr>
            <w:tcW w:w="4800" w:type="dxa"/>
            <w:noWrap/>
          </w:tcPr>
          <w:p>
            <w:pPr/>
            <w:r>
              <w:rPr>
                <w:sz w:val="18"/>
                <w:szCs w:val="18"/>
              </w:rPr>
              <w:t xml:space="preserve">Whether it processes personal data and whether it makes or supports decisions about people.</w:t>
            </w:r>
          </w:p>
        </w:tc>
      </w:tr>
      <w:tr>
        <w:trPr/>
        <w:tc>
          <w:tcPr>
            <w:tcW w:w="4800" w:type="dxa"/>
            <w:noWrap/>
          </w:tcPr>
          <w:p>
            <w:pPr/>
            <w:r>
              <w:rPr>
                <w:sz w:val="18"/>
                <w:szCs w:val="18"/>
              </w:rPr>
              <w:t xml:space="preserve">Review dates</w:t>
            </w:r>
          </w:p>
        </w:tc>
        <w:tc>
          <w:tcPr>
            <w:tcW w:w="4800" w:type="dxa"/>
            <w:noWrap/>
          </w:tcPr>
          <w:p>
            <w:pPr/>
            <w:r>
              <w:rPr>
                <w:sz w:val="18"/>
                <w:szCs w:val="18"/>
              </w:rPr>
              <w:t xml:space="preserve">When it was last reviewed; the next review is computed.</w:t>
            </w:r>
          </w:p>
        </w:tc>
      </w:tr>
      <w:tr>
        <w:trPr/>
        <w:tc>
          <w:tcPr>
            <w:tcW w:w="4800" w:type="dxa"/>
            <w:noWrap/>
          </w:tcPr>
          <w:p>
            <w:pPr/>
            <w:r>
              <w:rPr>
                <w:sz w:val="18"/>
                <w:szCs w:val="18"/>
              </w:rPr>
              <w:t xml:space="preserve">Evidence</w:t>
            </w:r>
          </w:p>
        </w:tc>
        <w:tc>
          <w:tcPr>
            <w:tcW w:w="4800" w:type="dxa"/>
            <w:noWrap/>
          </w:tcPr>
          <w:p>
            <w:pPr/>
            <w:r>
              <w:rPr>
                <w:sz w:val="18"/>
                <w:szCs w:val="18"/>
              </w:rPr>
              <w:t xml:space="preserve">A link to the documentation, assessment or approval, not a copy.</w:t>
            </w:r>
          </w:p>
        </w:tc>
      </w:tr>
    </w:tbl>
    <w:p/>
    <w:p>
      <w:pPr>
        <w:pStyle w:val="Heading1"/>
      </w:pPr>
      <w:bookmarkStart w:id="2" w:name="_Toc3"/>
      <w:r>
        <w:t>Duties that require a record of your systems</w:t>
      </w:r>
      <w:bookmarkEnd w:id="2"/>
    </w:p>
    <w:p>
      <w:pPr>
        <w:pStyle w:val="Heading2"/>
      </w:pPr>
      <w:bookmarkStart w:id="3" w:name="_Toc4"/>
      <w:r>
        <w:t>Establish accountability processes and a risk-management process (guardrails 1 and 2)</w:t>
      </w:r>
      <w:bookmarkEnd w:id="3"/>
    </w:p>
    <w:p>
      <w:pPr>
        <w:pStyle w:val="Body"/>
      </w:pPr>
      <w:r>
        <w:rPr/>
        <w:t xml:space="preserve">Guardrail 1 asks organisations to set up accountability processes including governance, internal capability and a strategy for regulatory compliance; guardrail 2 asks for a risk-management process to identify and mitigate risks across the AI lifecycle.</w:t>
      </w:r>
    </w:p>
    <w:p>
      <w:pPr>
        <w:pStyle w:val="Body"/>
      </w:pPr>
      <w:r>
        <w:rPr/>
        <w:t xml:space="preserve">In practice: Adopt an AI policy, assign an accountable owner and run per-use-case risk assessments.</w:t>
      </w:r>
    </w:p>
    <w:p>
      <w:pPr>
        <w:pStyle w:val="Small"/>
      </w:pPr>
      <w:r>
        <w:rPr>
          <w:color w:val="5D6B7E"/>
          <w:sz w:val="18"/>
          <w:szCs w:val="18"/>
          <w:i w:val="1"/>
          <w:iCs w:val="1"/>
        </w:rPr>
        <w:t xml:space="preserve">Evidence a reviewer would expect: AI accountability and risk-management documentation.</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8" w:history="1">
        <w:r>
          <w:rPr>
            <w:color w:val="006AAC"/>
            <w:sz w:val="18"/>
            <w:szCs w:val="18"/>
            <w:u w:val="single"/>
          </w:rPr>
          <w:t xml:space="preserve">Establish accountability processes and a risk-management process (guardrails 1 and 2) — Australian Voluntary AI Safety Standard, Guardrails 1 and 2 (Australia)</w:t>
        </w:r>
      </w:hyperlink>
    </w:p>
    <w:p>
      <w:pPr>
        <w:pStyle w:val="Heading2"/>
      </w:pPr>
      <w:bookmarkStart w:id="4" w:name="_Toc5"/>
      <w:r>
        <w:t>Frontier developers must protect employees who report catastrophic-risk concerns</w:t>
      </w:r>
      <w:bookmarkEnd w:id="4"/>
    </w:p>
    <w:p>
      <w:pPr>
        <w:pStyle w:val="Body"/>
      </w:pPr>
      <w:r>
        <w:rPr/>
        <w:t xml:space="preserve">A frontier developer must not adopt rules or take action that prevent or retaliate against a covered employee for disclosing to the Attorney General, a federal authority, a manager or another employee with authority that the developer's activities pose a specific and substantial danger to public health or safety from catastrophic risk, or that it has violated the Act. Covered employees must be given clear notice of these rights, and large frontier developers must run an anonymous internal reporting process with regular updates to the reporter and to officers and directors.</w:t>
      </w:r>
    </w:p>
    <w:p>
      <w:pPr>
        <w:pStyle w:val="Body"/>
      </w:pPr>
      <w:r>
        <w:rPr/>
        <w:t xml:space="preserve">In practice: Publish a whistleblower policy covering catastrophic-risk concerns, stand up an anonymous channel and brief managers on the anti-retaliation rule.</w:t>
      </w:r>
    </w:p>
    <w:p>
      <w:pPr>
        <w:pStyle w:val="Small"/>
      </w:pPr>
      <w:r>
        <w:rPr>
          <w:color w:val="5D6B7E"/>
          <w:sz w:val="18"/>
          <w:szCs w:val="18"/>
          <w:i w:val="1"/>
          <w:iCs w:val="1"/>
        </w:rPr>
        <w:t xml:space="preserve">Evidence a reviewer would expect: Whistleblower policy and employee notice; Anonymous reporting channel records.</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9" w:history="1">
        <w:r>
          <w:rPr>
            <w:color w:val="006AAC"/>
            <w:sz w:val="18"/>
            <w:szCs w:val="18"/>
            <w:u w:val="single"/>
          </w:rPr>
          <w:t xml:space="preserve">Frontier developers must protect employees who report catastrophic-risk concerns — California SB 53, Labor Code Section 1107 (as added by SB 53) (California (United States))</w:t>
        </w:r>
      </w:hyperlink>
    </w:p>
    <w:p>
      <w:pPr>
        <w:pStyle w:val="Heading2"/>
      </w:pPr>
      <w:bookmarkStart w:id="5" w:name="_Toc6"/>
      <w:r>
        <w:t>Developers must document high-risk systems and disclose known risks</w:t>
      </w:r>
      <w:bookmarkEnd w:id="5"/>
    </w:p>
    <w:p>
      <w:pPr>
        <w:pStyle w:val="Body"/>
      </w:pPr>
      <w:r>
        <w:rPr/>
        <w:t xml:space="preserve">Developers must make available to deployers a general statement of intended uses, documentation of known or reasonably foreseeable risks of algorithmic discrimination, training-data summaries, limitations, performance evaluation and mitigation measures, and information needed for deployer impact assessments, and must publish a public statement describing their high-risk systems and how they manage discrimination risks.</w:t>
      </w:r>
    </w:p>
    <w:p>
      <w:pPr>
        <w:pStyle w:val="Body"/>
      </w:pPr>
      <w:r>
        <w:rPr/>
        <w:t xml:space="preserve">In practice: Prepare a deployer information pack and a public high-risk systems statement.</w:t>
      </w:r>
    </w:p>
    <w:p>
      <w:pPr>
        <w:pStyle w:val="Small"/>
      </w:pPr>
      <w:r>
        <w:rPr>
          <w:color w:val="5D6B7E"/>
          <w:sz w:val="18"/>
          <w:szCs w:val="18"/>
          <w:i w:val="1"/>
          <w:iCs w:val="1"/>
        </w:rPr>
        <w:t xml:space="preserve">Evidence a reviewer would expect: Deployer documentation pack; Public statement on high-risk systems.</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0" w:history="1">
        <w:r>
          <w:rPr>
            <w:color w:val="006AAC"/>
            <w:sz w:val="18"/>
            <w:szCs w:val="18"/>
            <w:u w:val="single"/>
          </w:rPr>
          <w:t xml:space="preserve">Developers must document high-risk systems and disclose known risks — Colorado AI Act, C.R.S. 6-1-1702 (Colorado (United States))</w:t>
        </w:r>
      </w:hyperlink>
    </w:p>
    <w:p>
      <w:pPr>
        <w:pStyle w:val="Heading2"/>
      </w:pPr>
      <w:bookmarkStart w:id="6" w:name="_Toc7"/>
      <w:r>
        <w:t>Draw up technical documentation before placing a high-risk system on the market</w:t>
      </w:r>
      <w:bookmarkEnd w:id="6"/>
    </w:p>
    <w:p>
      <w:pPr>
        <w:pStyle w:val="Body"/>
      </w:pPr>
      <w:r>
        <w:rPr/>
        <w:t xml:space="preserve">Technical documentation must be drawn up before a high-risk system is placed on the market or put into service and kept up to date. It must demonstrate compliance with the Section 2 requirements and contain at least the elements in Annex IV, including a general description, development process, monitoring and control, risk-management description, and the applied standards. SMEs may use a simplified form provided by the Commission.</w:t>
      </w:r>
    </w:p>
    <w:p>
      <w:pPr>
        <w:pStyle w:val="Body"/>
      </w:pPr>
      <w:r>
        <w:rPr/>
        <w:t xml:space="preserve">In practice: Maintain an Annex IV-structured technical file under version control.</w:t>
      </w:r>
    </w:p>
    <w:p>
      <w:pPr>
        <w:pStyle w:val="Small"/>
      </w:pPr>
      <w:r>
        <w:rPr>
          <w:color w:val="5D6B7E"/>
          <w:sz w:val="18"/>
          <w:szCs w:val="18"/>
          <w:i w:val="1"/>
          <w:iCs w:val="1"/>
        </w:rPr>
        <w:t xml:space="preserve">Evidence a reviewer would expect: Annex IV technical file.</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1" w:history="1">
        <w:r>
          <w:rPr>
            <w:color w:val="006AAC"/>
            <w:sz w:val="18"/>
            <w:szCs w:val="18"/>
            <w:u w:val="single"/>
          </w:rPr>
          <w:t xml:space="preserve">Draw up technical documentation before placing a high-risk system on the market — EU AI Act, Article 11 and Annex IV (European Union)</w:t>
        </w:r>
      </w:hyperlink>
    </w:p>
    <w:p>
      <w:pPr>
        <w:pStyle w:val="Heading2"/>
      </w:pPr>
      <w:bookmarkStart w:id="7" w:name="_Toc8"/>
      <w:r>
        <w:t>Design high-risk systems to log events automatically</w:t>
      </w:r>
      <w:bookmarkEnd w:id="7"/>
    </w:p>
    <w:p>
      <w:pPr>
        <w:pStyle w:val="Body"/>
      </w:pPr>
      <w:r>
        <w:rPr/>
        <w:t xml:space="preserve">High-risk AI systems must technically allow automatic recording of events (logs) over their lifetime to support traceability, post-market monitoring and operational monitoring. Deployers must keep the logs generated by the system, to the extent under their control, for a period appropriate to the intended purpose and at least six months unless other law provides otherwise.</w:t>
      </w:r>
    </w:p>
    <w:p>
      <w:pPr>
        <w:pStyle w:val="Body"/>
      </w:pPr>
      <w:r>
        <w:rPr/>
        <w:t xml:space="preserve">In practice: Define the log schema, retention and access controls, and confirm deployer retention meets the minimum.</w:t>
      </w:r>
    </w:p>
    <w:p>
      <w:pPr>
        <w:pStyle w:val="Small"/>
      </w:pPr>
      <w:r>
        <w:rPr>
          <w:color w:val="5D6B7E"/>
          <w:sz w:val="18"/>
          <w:szCs w:val="18"/>
          <w:i w:val="1"/>
          <w:iCs w:val="1"/>
        </w:rPr>
        <w:t xml:space="preserve">Evidence a reviewer would expect: Logging specification and retention policy.</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2" w:history="1">
        <w:r>
          <w:rPr>
            <w:color w:val="006AAC"/>
            <w:sz w:val="18"/>
            <w:szCs w:val="18"/>
            <w:u w:val="single"/>
          </w:rPr>
          <w:t xml:space="preserve">Design high-risk systems to log events automatically — EU AI Act, Article 12; Article 26(6) for deployers (European Union)</w:t>
        </w:r>
      </w:hyperlink>
    </w:p>
    <w:p>
      <w:pPr>
        <w:pStyle w:val="Heading2"/>
      </w:pPr>
      <w:bookmarkStart w:id="8" w:name="_Toc9"/>
      <w:r>
        <w:t>Use high-risk AI as instructed, monitor it and inform affected people</w:t>
      </w:r>
      <w:bookmarkEnd w:id="8"/>
    </w:p>
    <w:p>
      <w:pPr>
        <w:pStyle w:val="Body"/>
      </w:pPr>
      <w:r>
        <w:rPr/>
        <w:t xml:space="preserve">Deployers of high-risk AI must take technical and organisational measures to use systems according to the instructions, assign human oversight, ensure input data is relevant where they control it, monitor operation, inform the provider and authorities of risks or serious incidents, keep logs, inform workers' representatives before deploying at the workplace, inform affected natural persons where decisions are made about them, and cooperate with authorities.</w:t>
      </w:r>
    </w:p>
    <w:p>
      <w:pPr>
        <w:pStyle w:val="Body"/>
      </w:pPr>
      <w:r>
        <w:rPr/>
        <w:t xml:space="preserve">In practice: Create a deployer checklist per high-risk system and a notice for affected individuals and workers.</w:t>
      </w:r>
    </w:p>
    <w:p>
      <w:pPr>
        <w:pStyle w:val="Small"/>
      </w:pPr>
      <w:r>
        <w:rPr>
          <w:color w:val="5D6B7E"/>
          <w:sz w:val="18"/>
          <w:szCs w:val="18"/>
          <w:i w:val="1"/>
          <w:iCs w:val="1"/>
        </w:rPr>
        <w:t xml:space="preserve">Evidence a reviewer would expect: Deployment checklist and oversight assignment; Worker and affected-person notices.</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3" w:history="1">
        <w:r>
          <w:rPr>
            <w:color w:val="006AAC"/>
            <w:sz w:val="18"/>
            <w:szCs w:val="18"/>
            <w:u w:val="single"/>
          </w:rPr>
          <w:t xml:space="preserve">Use high-risk AI as instructed, monitor it and inform affected people — EU AI Act, Article 26 (European Union)</w:t>
        </w:r>
      </w:hyperlink>
    </w:p>
    <w:p>
      <w:pPr>
        <w:pStyle w:val="Heading2"/>
      </w:pPr>
      <w:bookmarkStart w:id="9" w:name="_Toc10"/>
      <w:r>
        <w:t>Providers must meet the full set of provider duties for high-risk AI</w:t>
      </w:r>
      <w:bookmarkEnd w:id="9"/>
    </w:p>
    <w:p>
      <w:pPr>
        <w:pStyle w:val="Body"/>
      </w:pPr>
      <w:r>
        <w:rPr/>
        <w:t xml:space="preserve">Article 16 lists what a provider of a high-risk AI system owes: compliance with the Section 2 requirements, its name and contact details on the system or its documentation, a quality management system, retention of documentation and logs, conformity assessment, an EU declaration of conformity, CE marking, registration, corrective action when needed, cooperation with authorities on request, and accessibility in line with the EU accessibility directives.</w:t>
      </w:r>
    </w:p>
    <w:p>
      <w:pPr>
        <w:pStyle w:val="Body"/>
      </w:pPr>
      <w:r>
        <w:rPr/>
        <w:t xml:space="preserve">In practice: Map each Article 16 point to an owner and an evidence location in a compliance matrix for every high-risk system.</w:t>
      </w:r>
    </w:p>
    <w:p>
      <w:pPr>
        <w:pStyle w:val="Small"/>
      </w:pPr>
      <w:r>
        <w:rPr>
          <w:color w:val="5D6B7E"/>
          <w:sz w:val="18"/>
          <w:szCs w:val="18"/>
          <w:i w:val="1"/>
          <w:iCs w:val="1"/>
        </w:rPr>
        <w:t xml:space="preserve">Evidence a reviewer would expect: Provider compliance matrix.</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4" w:history="1">
        <w:r>
          <w:rPr>
            <w:color w:val="006AAC"/>
            <w:sz w:val="18"/>
            <w:szCs w:val="18"/>
            <w:u w:val="single"/>
          </w:rPr>
          <w:t xml:space="preserve">Providers must meet the full set of provider duties for high-risk AI — EU AI Act, Article 16 (European Union)</w:t>
        </w:r>
      </w:hyperlink>
    </w:p>
    <w:p>
      <w:pPr>
        <w:pStyle w:val="Heading2"/>
      </w:pPr>
      <w:bookmarkStart w:id="10" w:name="_Toc11"/>
      <w:r>
        <w:t>Providers must keep high-risk AI documentation for ten years</w:t>
      </w:r>
      <w:bookmarkEnd w:id="10"/>
    </w:p>
    <w:p>
      <w:pPr>
        <w:pStyle w:val="Body"/>
      </w:pPr>
      <w:r>
        <w:rPr/>
        <w:t xml:space="preserve">For ten years after a high-risk AI system is placed on the market or put into service, the provider must keep at the disposal of national competent authorities the technical documentation, the quality management system documentation, any changes approved by a notified body, the notified body's decisions and other documents, and the EU declaration of conformity. Financial institutions keep these as part of their sector record-keeping.</w:t>
      </w:r>
    </w:p>
    <w:p>
      <w:pPr>
        <w:pStyle w:val="Body"/>
      </w:pPr>
      <w:r>
        <w:rPr/>
        <w:t xml:space="preserve">In practice: Set a ten-year retention class for the technical file, QMS records and conformity documents of each high-risk system.</w:t>
      </w:r>
    </w:p>
    <w:p>
      <w:pPr>
        <w:pStyle w:val="Small"/>
      </w:pPr>
      <w:r>
        <w:rPr>
          <w:color w:val="5D6B7E"/>
          <w:sz w:val="18"/>
          <w:szCs w:val="18"/>
          <w:i w:val="1"/>
          <w:iCs w:val="1"/>
        </w:rPr>
        <w:t xml:space="preserve">Evidence a reviewer would expect: Retention schedule for AI conformity records; Technical file archive index.</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5" w:history="1">
        <w:r>
          <w:rPr>
            <w:color w:val="006AAC"/>
            <w:sz w:val="18"/>
            <w:szCs w:val="18"/>
            <w:u w:val="single"/>
          </w:rPr>
          <w:t xml:space="preserve">Providers must keep high-risk AI documentation for ten years — EU AI Act, Article 18 (European Union)</w:t>
        </w:r>
      </w:hyperlink>
    </w:p>
    <w:p>
      <w:pPr>
        <w:pStyle w:val="Heading2"/>
      </w:pPr>
      <w:bookmarkStart w:id="11" w:name="_Toc12"/>
      <w:r>
        <w:t>Providers must retain automatically generated logs under their control</w:t>
      </w:r>
      <w:bookmarkEnd w:id="11"/>
    </w:p>
    <w:p>
      <w:pPr>
        <w:pStyle w:val="Body"/>
      </w:pPr>
      <w:r>
        <w:rPr/>
        <w:t xml:space="preserve">Providers must keep the event logs that a high-risk AI system generates under Article 12, to the extent those logs are within their control, for a period appropriate to the system's intended purpose and in any case for at least six months, unless Union or national law on personal data sets a different period. Financial institutions keep the logs under their sector rules.</w:t>
      </w:r>
    </w:p>
    <w:p>
      <w:pPr>
        <w:pStyle w:val="Body"/>
      </w:pPr>
      <w:r>
        <w:rPr/>
        <w:t xml:space="preserve">In practice: Configure log retention for hosted or API-served high-risk systems to at least six months with a documented rationale for any longer period.</w:t>
      </w:r>
    </w:p>
    <w:p>
      <w:pPr>
        <w:pStyle w:val="Small"/>
      </w:pPr>
      <w:r>
        <w:rPr>
          <w:color w:val="5D6B7E"/>
          <w:sz w:val="18"/>
          <w:szCs w:val="18"/>
          <w:i w:val="1"/>
          <w:iCs w:val="1"/>
        </w:rPr>
        <w:t xml:space="preserve">Evidence a reviewer would expect: Log retention configuration and policy; Sample log export demonstrating retention period.</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6" w:history="1">
        <w:r>
          <w:rPr>
            <w:color w:val="006AAC"/>
            <w:sz w:val="18"/>
            <w:szCs w:val="18"/>
            <w:u w:val="single"/>
          </w:rPr>
          <w:t xml:space="preserve">Providers must retain automatically generated logs under their control — EU AI Act, Article 19 (European Union)</w:t>
        </w:r>
      </w:hyperlink>
    </w:p>
    <w:p>
      <w:pPr>
        <w:pStyle w:val="Heading2"/>
      </w:pPr>
      <w:bookmarkStart w:id="12" w:name="_Toc13"/>
      <w:r>
        <w:t>Providers must supply conformity evidence and log access to authorities on request</w:t>
      </w:r>
      <w:bookmarkEnd w:id="12"/>
    </w:p>
    <w:p>
      <w:pPr>
        <w:pStyle w:val="Body"/>
      </w:pPr>
      <w:r>
        <w:rPr/>
        <w:t xml:space="preserve">On a reasoned request from a national competent authority, a provider of a high-risk AI system must supply all the information and documentation needed to show that the system meets the Section 2 requirements, in a language the authority can readily understand, and must give the authority access to the automatically generated logs it holds. Authorities must treat what they receive as confidential under Article 78.</w:t>
      </w:r>
    </w:p>
    <w:p>
      <w:pPr>
        <w:pStyle w:val="Body"/>
      </w:pPr>
      <w:r>
        <w:rPr/>
        <w:t xml:space="preserve">In practice: Keep an authority-request playbook with a named contact, the documentation index and a pre-agreed export format for logs.</w:t>
      </w:r>
    </w:p>
    <w:p>
      <w:pPr>
        <w:pStyle w:val="Small"/>
      </w:pPr>
      <w:r>
        <w:rPr>
          <w:color w:val="5D6B7E"/>
          <w:sz w:val="18"/>
          <w:szCs w:val="18"/>
          <w:i w:val="1"/>
          <w:iCs w:val="1"/>
        </w:rPr>
        <w:t xml:space="preserve">Evidence a reviewer would expect: Regulator request handling procedure; Log of authority requests and responses.</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7" w:history="1">
        <w:r>
          <w:rPr>
            <w:color w:val="006AAC"/>
            <w:sz w:val="18"/>
            <w:szCs w:val="18"/>
            <w:u w:val="single"/>
          </w:rPr>
          <w:t xml:space="preserve">Providers must supply conformity evidence and log access to authorities on request — EU AI Act, Article 21 (European Union)</w:t>
        </w:r>
      </w:hyperlink>
    </w:p>
    <w:p>
      <w:pPr>
        <w:pStyle w:val="Heading2"/>
      </w:pPr>
      <w:bookmarkStart w:id="13" w:name="_Toc14"/>
      <w:r>
        <w:t>Non-EU providers must appoint an EU authorised representative for high-risk AI</w:t>
      </w:r>
      <w:bookmarkEnd w:id="13"/>
    </w:p>
    <w:p>
      <w:pPr>
        <w:pStyle w:val="Body"/>
      </w:pPr>
      <w:r>
        <w:rPr/>
        <w:t xml:space="preserve">Before making a high-risk AI system available in the Union, a provider established outside the EU must appoint, by written mandate, an authorised representative established in the Union. The representative verifies that the EU declaration of conformity and technical documentation exist and that conformity assessment was done, keeps the provider's contact details and the documentation available for ten years, supplies information to authorities, cooperates with them, and must end the mandate if the provider acts contrary to the Regulation.</w:t>
      </w:r>
    </w:p>
    <w:p>
      <w:pPr>
        <w:pStyle w:val="Body"/>
      </w:pPr>
      <w:r>
        <w:rPr/>
        <w:t xml:space="preserve">In practice: Sign a written mandate with an EU-established representative and give them a controlled copy of the technical file and declaration.</w:t>
      </w:r>
    </w:p>
    <w:p>
      <w:pPr>
        <w:pStyle w:val="Small"/>
      </w:pPr>
      <w:r>
        <w:rPr>
          <w:color w:val="5D6B7E"/>
          <w:sz w:val="18"/>
          <w:szCs w:val="18"/>
          <w:i w:val="1"/>
          <w:iCs w:val="1"/>
        </w:rPr>
        <w:t xml:space="preserve">Evidence a reviewer would expect: Written mandate of authorised representative; Representative's documentation checklist.</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8" w:history="1">
        <w:r>
          <w:rPr>
            <w:color w:val="006AAC"/>
            <w:sz w:val="18"/>
            <w:szCs w:val="18"/>
            <w:u w:val="single"/>
          </w:rPr>
          <w:t xml:space="preserve">Non-EU providers must appoint an EU authorised representative for high-risk AI — EU AI Act, Article 22 (European Union)</w:t>
        </w:r>
      </w:hyperlink>
    </w:p>
    <w:p>
      <w:pPr>
        <w:pStyle w:val="Heading2"/>
      </w:pPr>
      <w:bookmarkStart w:id="14" w:name="_Toc15"/>
      <w:r>
        <w:t>Deployers, distributors and importers must assume provider duties when they rebrand or substantially modify high-risk AI</w:t>
      </w:r>
      <w:bookmarkEnd w:id="14"/>
    </w:p>
    <w:p>
      <w:pPr>
        <w:pStyle w:val="Body"/>
      </w:pPr>
      <w:r>
        <w:rPr/>
        <w:t xml:space="preserve">A distributor, importer, deployer or other third party is treated as the provider of a high-risk AI system, with all Article 16 duties, if it puts its own name or trademark on a system already on the market, makes a substantial modification to a high-risk system that stays high-risk, or changes the intended purpose of a system so that it becomes high-risk. The original provider then ceases to be provider for that system but must cooperate and supply the information and access needed for the new provider to comply.</w:t>
      </w:r>
    </w:p>
    <w:p>
      <w:pPr>
        <w:pStyle w:val="Body"/>
      </w:pPr>
      <w:r>
        <w:rPr/>
        <w:t xml:space="preserve">In practice: Add a reclassification check to change control so that white-labelling, fine-tuning or repurposing a high-risk system triggers the provider workstream.</w:t>
      </w:r>
    </w:p>
    <w:p>
      <w:pPr>
        <w:pStyle w:val="Small"/>
      </w:pPr>
      <w:r>
        <w:rPr>
          <w:color w:val="5D6B7E"/>
          <w:sz w:val="18"/>
          <w:szCs w:val="18"/>
          <w:i w:val="1"/>
          <w:iCs w:val="1"/>
        </w:rPr>
        <w:t xml:space="preserve">Evidence a reviewer would expect: Change-control reclassification assessment; Cooperation clause with original provider.</w:t>
      </w:r>
    </w:p>
    <w:p>
      <w:pPr>
        <w:pStyle w:val="Body"/>
      </w:pPr>
      <w:r>
        <w:rPr>
          <w:color w:val="B45309"/>
          <w:b w:val="1"/>
          <w:bCs w:val="1"/>
        </w:rPr>
        <w:t xml:space="preserve">[PLACEHOLDER: Which of your systems this duty applies to, and where the inventory shows it]</w:t>
      </w:r>
    </w:p>
    <w:p>
      <w:pPr>
        <w:pStyle w:val="Small"/>
      </w:pPr>
      <w:r>
        <w:rPr>
          <w:color w:val="5D6B7E"/>
          <w:sz w:val="18"/>
          <w:szCs w:val="18"/>
        </w:rPr>
        <w:t xml:space="preserve">Source: </w:t>
      </w:r>
      <w:hyperlink r:id="rId19" w:history="1">
        <w:r>
          <w:rPr>
            <w:color w:val="006AAC"/>
            <w:sz w:val="18"/>
            <w:szCs w:val="18"/>
            <w:u w:val="single"/>
          </w:rPr>
          <w:t xml:space="preserve">Deployers, distributors and importers must assume provider duties when they rebrand or substantially modify high-risk AI — EU AI Act, Article 25(1) and 25(2) (European Union)</w:t>
        </w:r>
      </w:hyperlink>
    </w:p>
    <w:sectPr>
      <w:footerReference w:type="default" r:id="rId20"/>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System Inventory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i-system-inventory" TargetMode="External"/><Relationship Id="rId8" Type="http://schemas.openxmlformats.org/officeDocument/2006/relationships/hyperlink" Target="https://aipolicytracker.org/obligations/australia-vaiss-accountability-and-risk-management" TargetMode="External"/><Relationship Id="rId9" Type="http://schemas.openxmlformats.org/officeDocument/2006/relationships/hyperlink" Target="https://aipolicytracker.org/obligations/us-california-sb-53-whistleblower-protections" TargetMode="External"/><Relationship Id="rId10" Type="http://schemas.openxmlformats.org/officeDocument/2006/relationships/hyperlink" Target="https://aipolicytracker.org/obligations/us-colorado-developer-documentation-and-disclosure" TargetMode="External"/><Relationship Id="rId11" Type="http://schemas.openxmlformats.org/officeDocument/2006/relationships/hyperlink" Target="https://aipolicytracker.org/obligations/eu-ai-act-technical-documentation" TargetMode="External"/><Relationship Id="rId12" Type="http://schemas.openxmlformats.org/officeDocument/2006/relationships/hyperlink" Target="https://aipolicytracker.org/obligations/eu-ai-act-record-keeping" TargetMode="External"/><Relationship Id="rId13" Type="http://schemas.openxmlformats.org/officeDocument/2006/relationships/hyperlink" Target="https://aipolicytracker.org/obligations/eu-ai-act-deployer-obligations" TargetMode="External"/><Relationship Id="rId14" Type="http://schemas.openxmlformats.org/officeDocument/2006/relationships/hyperlink" Target="https://aipolicytracker.org/obligations/eu-ai-act-art-16-provider-obligations" TargetMode="External"/><Relationship Id="rId15" Type="http://schemas.openxmlformats.org/officeDocument/2006/relationships/hyperlink" Target="https://aipolicytracker.org/obligations/eu-ai-act-art-18-documentation-keeping" TargetMode="External"/><Relationship Id="rId16" Type="http://schemas.openxmlformats.org/officeDocument/2006/relationships/hyperlink" Target="https://aipolicytracker.org/obligations/eu-ai-act-art-19-provider-log-retention" TargetMode="External"/><Relationship Id="rId17" Type="http://schemas.openxmlformats.org/officeDocument/2006/relationships/hyperlink" Target="https://aipolicytracker.org/obligations/eu-ai-act-art-21-cooperation-with-authorities" TargetMode="External"/><Relationship Id="rId18" Type="http://schemas.openxmlformats.org/officeDocument/2006/relationships/hyperlink" Target="https://aipolicytracker.org/obligations/eu-ai-act-art-22-authorised-representative" TargetMode="External"/><Relationship Id="rId19" Type="http://schemas.openxmlformats.org/officeDocument/2006/relationships/hyperlink" Target="https://aipolicytracker.org/obligations/eu-ai-act-art-25-value-chain-becoming-provider"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System Inventory</dc:title>
  <dc:description>One row per AI system: purpose, role under the law, jurisdictions, risk tier, data, owner and review dates, with the recorded duties for each role on a reference sheet.</dc:description>
  <dc:subject/>
  <cp:keywords/>
  <cp:category/>
  <cp:lastModifiedBy/>
  <dcterms:created xsi:type="dcterms:W3CDTF">2026-09-26T13:05:03+00:00</dcterms:created>
  <dcterms:modified xsi:type="dcterms:W3CDTF">2026-09-26T13:05:03+00:00</dcterms:modified>
</cp:coreProperties>
</file>

<file path=docProps/custom.xml><?xml version="1.0" encoding="utf-8"?>
<Properties xmlns="http://schemas.openxmlformats.org/officeDocument/2006/custom-properties" xmlns:vt="http://schemas.openxmlformats.org/officeDocument/2006/docPropsVTypes"/>
</file>