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System Technical Documentation</w:t>
      </w:r>
    </w:p>
    <w:p>
      <w:pPr>
        <w:pStyle w:val="Body"/>
      </w:pPr>
      <w:r>
        <w:rPr/>
        <w:t xml:space="preserve">The technical file a high-risk system needs: one section per element the recorded documentation duties name, with placeholders, plus a document register.</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https://aipolicytracker.org/templates/ai-system-technical-documentation</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Purpose of the technical file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General description</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Development process</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Data and data governance</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Monitoring and control</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Risk management</w:t>
        </w:r>
        <w:r>
          <w:tab/>
        </w:r>
        <w:r>
          <w:fldChar w:fldCharType="begin"/>
        </w:r>
        <w:r>
          <w:instrText xml:space="preserve">PAGEREF 6 \h</w:instrText>
        </w:r>
        <w:r>
          <w:fldChar w:fldCharType="end"/>
        </w:r>
      </w:hyperlink>
    </w:p>
    <w:p>
      <w:pPr>
        <w:tabs>
          <w:tab w:val="right" w:leader="dot" w:pos="9062"/>
        </w:tabs>
      </w:pPr>
      <w:hyperlink w:anchor="_Toc7" w:history="1">
        <w:r>
          <w:rPr>
            <w:sz w:val="20"/>
            <w:szCs w:val="20"/>
          </w:rPr>
          <w:t>Changes over the lifecycle</w:t>
        </w:r>
        <w:r>
          <w:tab/>
        </w:r>
        <w:r>
          <w:fldChar w:fldCharType="begin"/>
        </w:r>
        <w:r>
          <w:instrText xml:space="preserve">PAGEREF 7 \h</w:instrText>
        </w:r>
        <w:r>
          <w:fldChar w:fldCharType="end"/>
        </w:r>
      </w:hyperlink>
    </w:p>
    <w:p>
      <w:pPr>
        <w:tabs>
          <w:tab w:val="right" w:leader="dot" w:pos="9062"/>
        </w:tabs>
      </w:pPr>
      <w:hyperlink w:anchor="_Toc8" w:history="1">
        <w:r>
          <w:rPr>
            <w:sz w:val="20"/>
            <w:szCs w:val="20"/>
          </w:rPr>
          <w:t>Standards applied</w:t>
        </w:r>
        <w:r>
          <w:tab/>
        </w:r>
        <w:r>
          <w:fldChar w:fldCharType="begin"/>
        </w:r>
        <w:r>
          <w:instrText xml:space="preserve">PAGEREF 8 \h</w:instrText>
        </w:r>
        <w:r>
          <w:fldChar w:fldCharType="end"/>
        </w:r>
      </w:hyperlink>
    </w:p>
    <w:p>
      <w:pPr>
        <w:tabs>
          <w:tab w:val="right" w:leader="dot" w:pos="9062"/>
        </w:tabs>
      </w:pPr>
      <w:hyperlink w:anchor="_Toc9" w:history="1">
        <w:r>
          <w:rPr>
            <w:sz w:val="20"/>
            <w:szCs w:val="20"/>
          </w:rPr>
          <w:t>Post-market monitoring</w:t>
        </w:r>
        <w:r>
          <w:tab/>
        </w:r>
        <w:r>
          <w:fldChar w:fldCharType="begin"/>
        </w:r>
        <w:r>
          <w:instrText xml:space="preserve">PAGEREF 9 \h</w:instrText>
        </w:r>
        <w:r>
          <w:fldChar w:fldCharType="end"/>
        </w:r>
      </w:hyperlink>
    </w:p>
    <w:p>
      <w:pPr>
        <w:tabs>
          <w:tab w:val="right" w:leader="dot" w:pos="9062"/>
        </w:tabs>
      </w:pPr>
      <w:hyperlink w:anchor="_Toc10" w:history="1">
        <w:r>
          <w:rPr>
            <w:sz w:val="20"/>
            <w:szCs w:val="20"/>
          </w:rPr>
          <w:t>Duties this file serves</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Developers must document high-risk systems and disclose known risks</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Draw up technical documentation before placing a high-risk system on the market</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Design high-risk systems to log events automatically</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Achieve appropriate accuracy, robustness and cybersecurity</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Providers must keep high-risk AI documentation for ten years</w:t>
        </w:r>
        <w:r>
          <w:tab/>
        </w:r>
        <w:r>
          <w:fldChar w:fldCharType="begin"/>
        </w:r>
        <w:r>
          <w:instrText xml:space="preserve">PAGEREF 15 \h</w:instrText>
        </w:r>
        <w:r>
          <w:fldChar w:fldCharType="end"/>
        </w:r>
      </w:hyperlink>
    </w:p>
    <w:p>
      <w:pPr>
        <w:tabs>
          <w:tab w:val="right" w:leader="dot" w:pos="9062"/>
        </w:tabs>
        <w:ind w:left="200"/>
      </w:pPr>
      <w:hyperlink w:anchor="_Toc16" w:history="1">
        <w:r>
          <w:rPr>
            <w:sz w:val="20"/>
            <w:szCs w:val="20"/>
          </w:rPr>
          <w:t>Providers must retain automatically generated logs under their control</w:t>
        </w:r>
        <w:r>
          <w:tab/>
        </w:r>
        <w:r>
          <w:fldChar w:fldCharType="begin"/>
        </w:r>
        <w:r>
          <w:instrText xml:space="preserve">PAGEREF 16 \h</w:instrText>
        </w:r>
        <w:r>
          <w:fldChar w:fldCharType="end"/>
        </w:r>
      </w:hyperlink>
    </w:p>
    <w:p>
      <w:pPr>
        <w:tabs>
          <w:tab w:val="right" w:leader="dot" w:pos="9062"/>
        </w:tabs>
        <w:ind w:left="200"/>
      </w:pPr>
      <w:hyperlink w:anchor="_Toc17" w:history="1">
        <w:r>
          <w:rPr>
            <w:sz w:val="20"/>
            <w:szCs w:val="20"/>
          </w:rPr>
          <w:t>Providers must document and register a conclusion that an Annex III system is not high-risk</w:t>
        </w:r>
        <w:r>
          <w:tab/>
        </w:r>
        <w:r>
          <w:fldChar w:fldCharType="begin"/>
        </w:r>
        <w:r>
          <w:instrText xml:space="preserve">PAGEREF 17 \h</w:instrText>
        </w:r>
        <w:r>
          <w:fldChar w:fldCharType="end"/>
        </w:r>
      </w:hyperlink>
    </w:p>
    <w:p>
      <w:pPr>
        <w:tabs>
          <w:tab w:val="right" w:leader="dot" w:pos="9062"/>
        </w:tabs>
        <w:ind w:left="200"/>
      </w:pPr>
      <w:hyperlink w:anchor="_Toc18" w:history="1">
        <w:r>
          <w:rPr>
            <w:sz w:val="20"/>
            <w:szCs w:val="20"/>
          </w:rPr>
          <w:t>Providers of GPAI models must maintain technical documentation and inform downstream providers</w:t>
        </w:r>
        <w:r>
          <w:tab/>
        </w:r>
        <w:r>
          <w:fldChar w:fldCharType="begin"/>
        </w:r>
        <w:r>
          <w:instrText xml:space="preserve">PAGEREF 18 \h</w:instrText>
        </w:r>
        <w:r>
          <w:fldChar w:fldCharType="end"/>
        </w:r>
      </w:hyperlink>
    </w:p>
    <w:p>
      <w:pPr>
        <w:tabs>
          <w:tab w:val="right" w:leader="dot" w:pos="9062"/>
        </w:tabs>
        <w:ind w:left="200"/>
      </w:pPr>
      <w:hyperlink w:anchor="_Toc19" w:history="1">
        <w:r>
          <w:rPr>
            <w:sz w:val="20"/>
            <w:szCs w:val="20"/>
          </w:rPr>
          <w:t>Providers of systemic-risk GPAI models must secure the model and its infrastructure</w:t>
        </w:r>
        <w:r>
          <w:tab/>
        </w:r>
        <w:r>
          <w:fldChar w:fldCharType="begin"/>
        </w:r>
        <w:r>
          <w:instrText xml:space="preserve">PAGEREF 19 \h</w:instrText>
        </w:r>
        <w:r>
          <w:fldChar w:fldCharType="end"/>
        </w:r>
      </w:hyperlink>
    </w:p>
    <w:p>
      <w:pPr>
        <w:tabs>
          <w:tab w:val="right" w:leader="dot" w:pos="9062"/>
        </w:tabs>
        <w:ind w:left="200"/>
      </w:pPr>
      <w:hyperlink w:anchor="_Toc20" w:history="1">
        <w:r>
          <w:rPr>
            <w:sz w:val="20"/>
            <w:szCs w:val="20"/>
          </w:rPr>
          <w:t>Employers and employment agencies must obtain an independent bias audit before using an automated employment decision tool</w:t>
        </w:r>
        <w:r>
          <w:tab/>
        </w:r>
        <w:r>
          <w:fldChar w:fldCharType="begin"/>
        </w:r>
        <w:r>
          <w:instrText xml:space="preserve">PAGEREF 20 \h</w:instrText>
        </w:r>
        <w:r>
          <w:fldChar w:fldCharType="end"/>
        </w:r>
      </w:hyperlink>
    </w:p>
    <w:p>
      <w:r>
        <w:fldChar w:fldCharType="end"/>
      </w:r>
    </w:p>
    <w:p>
      <w:r>
        <w:br w:type="page"/>
      </w:r>
    </w:p>
    <w:p>
      <w:pPr>
        <w:pStyle w:val="Heading1"/>
      </w:pPr>
      <w:bookmarkStart w:id="0" w:name="_Toc1"/>
      <w:r>
        <w:t>Purpose of the technical file</w:t>
      </w:r>
      <w:bookmarkEnd w:id="0"/>
    </w:p>
    <w:p>
      <w:pPr>
        <w:pStyle w:val="Body"/>
      </w:pPr>
      <w:r>
        <w:rPr/>
        <w:t xml:space="preserve">A technical file is the evidence that a system was built and is run as the rules require. The sections below follow what the recorded documentation duties ask for; each ends with the duty it serves, cited.</w:t>
      </w:r>
    </w:p>
    <w:p>
      <w:pPr>
        <w:pStyle w:val="Heading1"/>
      </w:pPr>
      <w:bookmarkStart w:id="1" w:name="_Toc2"/>
      <w:r>
        <w:t>General description</w:t>
      </w:r>
      <w:bookmarkEnd w:id="1"/>
    </w:p>
    <w:p>
      <w:pPr>
        <w:pStyle w:val="Body"/>
        <w:numPr>
          <w:ilvl w:val="0"/>
          <w:numId w:val="8"/>
        </w:numPr>
      </w:pPr>
      <w:r>
        <w:rPr/>
        <w:t xml:space="preserve">Intended purpose, provider, version, how it is placed on the market or put into service</w:t>
      </w:r>
    </w:p>
    <w:p>
      <w:pPr>
        <w:pStyle w:val="Body"/>
        <w:numPr>
          <w:ilvl w:val="0"/>
          <w:numId w:val="8"/>
        </w:numPr>
      </w:pPr>
      <w:r>
        <w:rPr/>
        <w:t xml:space="preserve">Hardware and software it runs on, and interactions with other systems</w:t>
      </w:r>
    </w:p>
    <w:p>
      <w:pPr>
        <w:pStyle w:val="Body"/>
        <w:numPr>
          <w:ilvl w:val="0"/>
          <w:numId w:val="8"/>
        </w:numPr>
      </w:pPr>
      <w:r>
        <w:rPr/>
        <w:t xml:space="preserve">Instructions for use and the user interface</w:t>
      </w:r>
    </w:p>
    <w:p>
      <w:pPr>
        <w:pStyle w:val="Body"/>
      </w:pPr>
      <w:r>
        <w:rPr>
          <w:color w:val="B45309"/>
          <w:b w:val="1"/>
          <w:bCs w:val="1"/>
        </w:rPr>
        <w:t xml:space="preserve">[PLACEHOLDER: Complete this section for the system, and link the evidence in the register sheet]</w:t>
      </w:r>
    </w:p>
    <w:p>
      <w:pPr>
        <w:pStyle w:val="Heading1"/>
      </w:pPr>
      <w:bookmarkStart w:id="2" w:name="_Toc3"/>
      <w:r>
        <w:t>Development process</w:t>
      </w:r>
      <w:bookmarkEnd w:id="2"/>
    </w:p>
    <w:p>
      <w:pPr>
        <w:pStyle w:val="Body"/>
        <w:numPr>
          <w:ilvl w:val="0"/>
          <w:numId w:val="8"/>
        </w:numPr>
      </w:pPr>
      <w:r>
        <w:rPr/>
        <w:t xml:space="preserve">Methods and steps; use of pre-trained systems or third-party tools</w:t>
      </w:r>
    </w:p>
    <w:p>
      <w:pPr>
        <w:pStyle w:val="Body"/>
        <w:numPr>
          <w:ilvl w:val="0"/>
          <w:numId w:val="8"/>
        </w:numPr>
      </w:pPr>
      <w:r>
        <w:rPr/>
        <w:t xml:space="preserve">Design specifications, architecture and computational resources</w:t>
      </w:r>
    </w:p>
    <w:p>
      <w:pPr>
        <w:pStyle w:val="Body"/>
        <w:numPr>
          <w:ilvl w:val="0"/>
          <w:numId w:val="8"/>
        </w:numPr>
      </w:pPr>
      <w:r>
        <w:rPr/>
        <w:t xml:space="preserve">Choices about the trade-offs made</w:t>
      </w:r>
    </w:p>
    <w:p>
      <w:pPr>
        <w:pStyle w:val="Body"/>
      </w:pPr>
      <w:r>
        <w:rPr>
          <w:color w:val="B45309"/>
          <w:b w:val="1"/>
          <w:bCs w:val="1"/>
        </w:rPr>
        <w:t xml:space="preserve">[PLACEHOLDER: Complete this section for the system, and link the evidence in the register sheet]</w:t>
      </w:r>
    </w:p>
    <w:p>
      <w:pPr>
        <w:pStyle w:val="Heading1"/>
      </w:pPr>
      <w:bookmarkStart w:id="3" w:name="_Toc4"/>
      <w:r>
        <w:t>Data and data governance</w:t>
      </w:r>
      <w:bookmarkEnd w:id="3"/>
    </w:p>
    <w:p>
      <w:pPr>
        <w:pStyle w:val="Body"/>
        <w:numPr>
          <w:ilvl w:val="0"/>
          <w:numId w:val="8"/>
        </w:numPr>
      </w:pPr>
      <w:r>
        <w:rPr/>
        <w:t xml:space="preserve">Training, validation and test datasets: provenance, scope, main characteristics</w:t>
      </w:r>
    </w:p>
    <w:p>
      <w:pPr>
        <w:pStyle w:val="Body"/>
        <w:numPr>
          <w:ilvl w:val="0"/>
          <w:numId w:val="8"/>
        </w:numPr>
      </w:pPr>
      <w:r>
        <w:rPr/>
        <w:t xml:space="preserve">Labelling, cleaning and enrichment; representativeness and bias examination</w:t>
      </w:r>
    </w:p>
    <w:p>
      <w:pPr>
        <w:pStyle w:val="Body"/>
        <w:numPr>
          <w:ilvl w:val="0"/>
          <w:numId w:val="8"/>
        </w:numPr>
      </w:pPr>
      <w:r>
        <w:rPr/>
        <w:t xml:space="preserve">Personal data and the legal basis for it</w:t>
      </w:r>
    </w:p>
    <w:p>
      <w:pPr>
        <w:pStyle w:val="Body"/>
      </w:pPr>
      <w:r>
        <w:rPr>
          <w:color w:val="B45309"/>
          <w:b w:val="1"/>
          <w:bCs w:val="1"/>
        </w:rPr>
        <w:t xml:space="preserve">[PLACEHOLDER: Complete this section for the system, and link the evidence in the register sheet]</w:t>
      </w:r>
    </w:p>
    <w:p>
      <w:pPr>
        <w:pStyle w:val="Heading1"/>
      </w:pPr>
      <w:bookmarkStart w:id="4" w:name="_Toc5"/>
      <w:r>
        <w:t>Monitoring and control</w:t>
      </w:r>
      <w:bookmarkEnd w:id="4"/>
    </w:p>
    <w:p>
      <w:pPr>
        <w:pStyle w:val="Body"/>
        <w:numPr>
          <w:ilvl w:val="0"/>
          <w:numId w:val="8"/>
        </w:numPr>
      </w:pPr>
      <w:r>
        <w:rPr/>
        <w:t xml:space="preserve">Human oversight measures and the interface for them</w:t>
      </w:r>
    </w:p>
    <w:p>
      <w:pPr>
        <w:pStyle w:val="Body"/>
        <w:numPr>
          <w:ilvl w:val="0"/>
          <w:numId w:val="8"/>
        </w:numPr>
      </w:pPr>
      <w:r>
        <w:rPr/>
        <w:t xml:space="preserve">Logging and traceability</w:t>
      </w:r>
    </w:p>
    <w:p>
      <w:pPr>
        <w:pStyle w:val="Body"/>
        <w:numPr>
          <w:ilvl w:val="0"/>
          <w:numId w:val="8"/>
        </w:numPr>
      </w:pPr>
      <w:r>
        <w:rPr/>
        <w:t xml:space="preserve">Accuracy, robustness and cybersecurity measures and their metrics</w:t>
      </w:r>
    </w:p>
    <w:p>
      <w:pPr>
        <w:pStyle w:val="Body"/>
      </w:pPr>
      <w:r>
        <w:rPr>
          <w:color w:val="B45309"/>
          <w:b w:val="1"/>
          <w:bCs w:val="1"/>
        </w:rPr>
        <w:t xml:space="preserve">[PLACEHOLDER: Complete this section for the system, and link the evidence in the register sheet]</w:t>
      </w:r>
    </w:p>
    <w:p>
      <w:pPr>
        <w:pStyle w:val="Heading1"/>
      </w:pPr>
      <w:bookmarkStart w:id="5" w:name="_Toc6"/>
      <w:r>
        <w:t>Risk management</w:t>
      </w:r>
      <w:bookmarkEnd w:id="5"/>
    </w:p>
    <w:p>
      <w:pPr>
        <w:pStyle w:val="Body"/>
        <w:numPr>
          <w:ilvl w:val="0"/>
          <w:numId w:val="8"/>
        </w:numPr>
      </w:pPr>
      <w:r>
        <w:rPr/>
        <w:t xml:space="preserve">The risk management system and its outputs</w:t>
      </w:r>
    </w:p>
    <w:p>
      <w:pPr>
        <w:pStyle w:val="Body"/>
        <w:numPr>
          <w:ilvl w:val="0"/>
          <w:numId w:val="8"/>
        </w:numPr>
      </w:pPr>
      <w:r>
        <w:rPr/>
        <w:t xml:space="preserve">Known and foreseeable risks, and residual risks</w:t>
      </w:r>
    </w:p>
    <w:p>
      <w:pPr>
        <w:pStyle w:val="Body"/>
      </w:pPr>
      <w:r>
        <w:rPr>
          <w:color w:val="B45309"/>
          <w:b w:val="1"/>
          <w:bCs w:val="1"/>
        </w:rPr>
        <w:t xml:space="preserve">[PLACEHOLDER: Complete this section for the system, and link the evidence in the register sheet]</w:t>
      </w:r>
    </w:p>
    <w:p>
      <w:pPr>
        <w:pStyle w:val="Heading1"/>
      </w:pPr>
      <w:bookmarkStart w:id="6" w:name="_Toc7"/>
      <w:r>
        <w:t>Changes over the lifecycle</w:t>
      </w:r>
      <w:bookmarkEnd w:id="6"/>
    </w:p>
    <w:p>
      <w:pPr>
        <w:pStyle w:val="Body"/>
        <w:numPr>
          <w:ilvl w:val="0"/>
          <w:numId w:val="8"/>
        </w:numPr>
      </w:pPr>
      <w:r>
        <w:rPr/>
        <w:t xml:space="preserve">Version history and what each change affected</w:t>
      </w:r>
    </w:p>
    <w:p>
      <w:pPr>
        <w:pStyle w:val="Body"/>
        <w:numPr>
          <w:ilvl w:val="0"/>
          <w:numId w:val="8"/>
        </w:numPr>
      </w:pPr>
      <w:r>
        <w:rPr/>
        <w:t xml:space="preserve">Re-assessment triggers</w:t>
      </w:r>
    </w:p>
    <w:p>
      <w:pPr>
        <w:pStyle w:val="Body"/>
      </w:pPr>
      <w:r>
        <w:rPr>
          <w:color w:val="B45309"/>
          <w:b w:val="1"/>
          <w:bCs w:val="1"/>
        </w:rPr>
        <w:t xml:space="preserve">[PLACEHOLDER: Complete this section for the system, and link the evidence in the register sheet]</w:t>
      </w:r>
    </w:p>
    <w:p>
      <w:pPr>
        <w:pStyle w:val="Heading1"/>
      </w:pPr>
      <w:bookmarkStart w:id="7" w:name="_Toc8"/>
      <w:r>
        <w:t>Standards applied</w:t>
      </w:r>
      <w:bookmarkEnd w:id="7"/>
    </w:p>
    <w:p>
      <w:pPr>
        <w:pStyle w:val="Body"/>
        <w:numPr>
          <w:ilvl w:val="0"/>
          <w:numId w:val="8"/>
        </w:numPr>
      </w:pPr>
      <w:r>
        <w:rPr/>
        <w:t xml:space="preserve">Harmonised standards and common specifications used, or the alternatives adopted</w:t>
      </w:r>
    </w:p>
    <w:p>
      <w:pPr>
        <w:pStyle w:val="Body"/>
      </w:pPr>
      <w:r>
        <w:rPr>
          <w:color w:val="B45309"/>
          <w:b w:val="1"/>
          <w:bCs w:val="1"/>
        </w:rPr>
        <w:t xml:space="preserve">[PLACEHOLDER: Complete this section for the system, and link the evidence in the register sheet]</w:t>
      </w:r>
    </w:p>
    <w:p>
      <w:pPr>
        <w:pStyle w:val="Heading1"/>
      </w:pPr>
      <w:bookmarkStart w:id="8" w:name="_Toc9"/>
      <w:r>
        <w:t>Post-market monitoring</w:t>
      </w:r>
      <w:bookmarkEnd w:id="8"/>
    </w:p>
    <w:p>
      <w:pPr>
        <w:pStyle w:val="Body"/>
        <w:numPr>
          <w:ilvl w:val="0"/>
          <w:numId w:val="8"/>
        </w:numPr>
      </w:pPr>
      <w:r>
        <w:rPr/>
        <w:t xml:space="preserve">The monitoring plan and how incidents are captured</w:t>
      </w:r>
    </w:p>
    <w:p>
      <w:pPr>
        <w:pStyle w:val="Body"/>
      </w:pPr>
      <w:r>
        <w:rPr>
          <w:color w:val="B45309"/>
          <w:b w:val="1"/>
          <w:bCs w:val="1"/>
        </w:rPr>
        <w:t xml:space="preserve">[PLACEHOLDER: Complete this section for the system, and link the evidence in the register sheet]</w:t>
      </w:r>
    </w:p>
    <w:p>
      <w:pPr>
        <w:pStyle w:val="Heading1"/>
      </w:pPr>
      <w:bookmarkStart w:id="9" w:name="_Toc10"/>
      <w:r>
        <w:t>Duties this file serves</w:t>
      </w:r>
      <w:bookmarkEnd w:id="9"/>
    </w:p>
    <w:p>
      <w:pPr>
        <w:pStyle w:val="Heading2"/>
      </w:pPr>
      <w:bookmarkStart w:id="10" w:name="_Toc11"/>
      <w:r>
        <w:t>Developers must document high-risk systems and disclose known risks</w:t>
      </w:r>
      <w:bookmarkEnd w:id="10"/>
    </w:p>
    <w:p>
      <w:pPr>
        <w:pStyle w:val="Body"/>
      </w:pPr>
      <w:r>
        <w:rPr/>
        <w:t xml:space="preserve">Developers must make available to deployers a general statement of intended uses, documentation of known or reasonably foreseeable risks of algorithmic discrimination, training-data summaries, limitations, performance evaluation and mitigation measures, and information needed for deployer impact assessments, and must publish a public statement describing their high-risk systems and how they manage discrimination risks.</w:t>
      </w:r>
    </w:p>
    <w:p>
      <w:pPr>
        <w:pStyle w:val="Body"/>
      </w:pPr>
      <w:r>
        <w:rPr/>
        <w:t xml:space="preserve">In practice: Prepare a deployer information pack and a public high-risk systems statement.</w:t>
      </w:r>
    </w:p>
    <w:p>
      <w:pPr>
        <w:pStyle w:val="Small"/>
      </w:pPr>
      <w:r>
        <w:rPr>
          <w:color w:val="5D6B7E"/>
          <w:sz w:val="18"/>
          <w:szCs w:val="18"/>
          <w:i w:val="1"/>
          <w:iCs w:val="1"/>
        </w:rPr>
        <w:t xml:space="preserve">Evidence a reviewer would expect: Deployer documentation pack; Public statement on high-risk systems.</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8" w:history="1">
        <w:r>
          <w:rPr>
            <w:color w:val="006AAC"/>
            <w:sz w:val="18"/>
            <w:szCs w:val="18"/>
            <w:u w:val="single"/>
          </w:rPr>
          <w:t xml:space="preserve">Developers must document high-risk systems and disclose known risks — Colorado AI Act, C.R.S. 6-1-1702 (Colorado (United States))</w:t>
        </w:r>
      </w:hyperlink>
    </w:p>
    <w:p>
      <w:pPr>
        <w:pStyle w:val="Heading2"/>
      </w:pPr>
      <w:bookmarkStart w:id="11" w:name="_Toc12"/>
      <w:r>
        <w:t>Draw up technical documentation before placing a high-risk system on the market</w:t>
      </w:r>
      <w:bookmarkEnd w:id="11"/>
    </w:p>
    <w:p>
      <w:pPr>
        <w:pStyle w:val="Body"/>
      </w:pPr>
      <w:r>
        <w:rPr/>
        <w:t xml:space="preserve">Technical documentation must be drawn up before a high-risk system is placed on the market or put into service and kept up to date. It must demonstrate compliance with the Section 2 requirements and contain at least the elements in Annex IV, including a general description, development process, monitoring and control, risk-management description, and the applied standards. SMEs may use a simplified form provided by the Commission.</w:t>
      </w:r>
    </w:p>
    <w:p>
      <w:pPr>
        <w:pStyle w:val="Body"/>
      </w:pPr>
      <w:r>
        <w:rPr/>
        <w:t xml:space="preserve">In practice: Maintain an Annex IV-structured technical file under version control.</w:t>
      </w:r>
    </w:p>
    <w:p>
      <w:pPr>
        <w:pStyle w:val="Small"/>
      </w:pPr>
      <w:r>
        <w:rPr>
          <w:color w:val="5D6B7E"/>
          <w:sz w:val="18"/>
          <w:szCs w:val="18"/>
          <w:i w:val="1"/>
          <w:iCs w:val="1"/>
        </w:rPr>
        <w:t xml:space="preserve">Evidence a reviewer would expect: Annex IV technical file.</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9" w:history="1">
        <w:r>
          <w:rPr>
            <w:color w:val="006AAC"/>
            <w:sz w:val="18"/>
            <w:szCs w:val="18"/>
            <w:u w:val="single"/>
          </w:rPr>
          <w:t xml:space="preserve">Draw up technical documentation before placing a high-risk system on the market — EU AI Act, Article 11 and Annex IV (European Union)</w:t>
        </w:r>
      </w:hyperlink>
    </w:p>
    <w:p>
      <w:pPr>
        <w:pStyle w:val="Heading2"/>
      </w:pPr>
      <w:bookmarkStart w:id="12" w:name="_Toc13"/>
      <w:r>
        <w:t>Design high-risk systems to log events automatically</w:t>
      </w:r>
      <w:bookmarkEnd w:id="12"/>
    </w:p>
    <w:p>
      <w:pPr>
        <w:pStyle w:val="Body"/>
      </w:pPr>
      <w:r>
        <w:rPr/>
        <w:t xml:space="preserve">High-risk AI systems must technically allow automatic recording of events (logs) over their lifetime to support traceability, post-market monitoring and operational monitoring. Deployers must keep the logs generated by the system, to the extent under their control, for a period appropriate to the intended purpose and at least six months unless other law provides otherwise.</w:t>
      </w:r>
    </w:p>
    <w:p>
      <w:pPr>
        <w:pStyle w:val="Body"/>
      </w:pPr>
      <w:r>
        <w:rPr/>
        <w:t xml:space="preserve">In practice: Define the log schema, retention and access controls, and confirm deployer retention meets the minimum.</w:t>
      </w:r>
    </w:p>
    <w:p>
      <w:pPr>
        <w:pStyle w:val="Small"/>
      </w:pPr>
      <w:r>
        <w:rPr>
          <w:color w:val="5D6B7E"/>
          <w:sz w:val="18"/>
          <w:szCs w:val="18"/>
          <w:i w:val="1"/>
          <w:iCs w:val="1"/>
        </w:rPr>
        <w:t xml:space="preserve">Evidence a reviewer would expect: Logging specification and retention policy.</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0" w:history="1">
        <w:r>
          <w:rPr>
            <w:color w:val="006AAC"/>
            <w:sz w:val="18"/>
            <w:szCs w:val="18"/>
            <w:u w:val="single"/>
          </w:rPr>
          <w:t xml:space="preserve">Design high-risk systems to log events automatically — EU AI Act, Article 12; Article 26(6) for deployers (European Union)</w:t>
        </w:r>
      </w:hyperlink>
    </w:p>
    <w:p>
      <w:pPr>
        <w:pStyle w:val="Heading2"/>
      </w:pPr>
      <w:bookmarkStart w:id="13" w:name="_Toc14"/>
      <w:r>
        <w:t>Achieve appropriate accuracy, robustness and cybersecurity</w:t>
      </w:r>
      <w:bookmarkEnd w:id="13"/>
    </w:p>
    <w:p>
      <w:pPr>
        <w:pStyle w:val="Body"/>
      </w:pPr>
      <w:r>
        <w:rPr/>
        <w:t xml:space="preserve">High-risk AI systems must achieve an appropriate level of accuracy, robustness and cybersecurity and perform consistently throughout their lifecycle. Accuracy levels and metrics must be declared in the instructions; systems must be resilient to errors, faults and inconsistencies, address feedback loops in continuously learning systems, and resist attempts to alter use or performance, including data poisoning, model poisoning, adversarial examples and confidentiality attacks.</w:t>
      </w:r>
    </w:p>
    <w:p>
      <w:pPr>
        <w:pStyle w:val="Body"/>
      </w:pPr>
      <w:r>
        <w:rPr/>
        <w:t xml:space="preserve">In practice: Include AI-specific threat modelling and adversarial testing in your security programme.</w:t>
      </w:r>
    </w:p>
    <w:p>
      <w:pPr>
        <w:pStyle w:val="Small"/>
      </w:pPr>
      <w:r>
        <w:rPr>
          <w:color w:val="5D6B7E"/>
          <w:sz w:val="18"/>
          <w:szCs w:val="18"/>
          <w:i w:val="1"/>
          <w:iCs w:val="1"/>
        </w:rPr>
        <w:t xml:space="preserve">Evidence a reviewer would expect: Accuracy metrics and test evidence; AI security assessment.</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1" w:history="1">
        <w:r>
          <w:rPr>
            <w:color w:val="006AAC"/>
            <w:sz w:val="18"/>
            <w:szCs w:val="18"/>
            <w:u w:val="single"/>
          </w:rPr>
          <w:t xml:space="preserve">Achieve appropriate accuracy, robustness and cybersecurity — EU AI Act, Article 15 (European Union)</w:t>
        </w:r>
      </w:hyperlink>
    </w:p>
    <w:p>
      <w:pPr>
        <w:pStyle w:val="Heading2"/>
      </w:pPr>
      <w:bookmarkStart w:id="14" w:name="_Toc15"/>
      <w:r>
        <w:t>Providers must keep high-risk AI documentation for ten years</w:t>
      </w:r>
      <w:bookmarkEnd w:id="14"/>
    </w:p>
    <w:p>
      <w:pPr>
        <w:pStyle w:val="Body"/>
      </w:pPr>
      <w:r>
        <w:rPr/>
        <w:t xml:space="preserve">For ten years after a high-risk AI system is placed on the market or put into service, the provider must keep at the disposal of national competent authorities the technical documentation, the quality management system documentation, any changes approved by a notified body, the notified body's decisions and other documents, and the EU declaration of conformity. Financial institutions keep these as part of their sector record-keeping.</w:t>
      </w:r>
    </w:p>
    <w:p>
      <w:pPr>
        <w:pStyle w:val="Body"/>
      </w:pPr>
      <w:r>
        <w:rPr/>
        <w:t xml:space="preserve">In practice: Set a ten-year retention class for the technical file, QMS records and conformity documents of each high-risk system.</w:t>
      </w:r>
    </w:p>
    <w:p>
      <w:pPr>
        <w:pStyle w:val="Small"/>
      </w:pPr>
      <w:r>
        <w:rPr>
          <w:color w:val="5D6B7E"/>
          <w:sz w:val="18"/>
          <w:szCs w:val="18"/>
          <w:i w:val="1"/>
          <w:iCs w:val="1"/>
        </w:rPr>
        <w:t xml:space="preserve">Evidence a reviewer would expect: Retention schedule for AI conformity records; Technical file archive index.</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2" w:history="1">
        <w:r>
          <w:rPr>
            <w:color w:val="006AAC"/>
            <w:sz w:val="18"/>
            <w:szCs w:val="18"/>
            <w:u w:val="single"/>
          </w:rPr>
          <w:t xml:space="preserve">Providers must keep high-risk AI documentation for ten years — EU AI Act, Article 18 (European Union)</w:t>
        </w:r>
      </w:hyperlink>
    </w:p>
    <w:p>
      <w:pPr>
        <w:pStyle w:val="Heading2"/>
      </w:pPr>
      <w:bookmarkStart w:id="15" w:name="_Toc16"/>
      <w:r>
        <w:t>Providers must retain automatically generated logs under their control</w:t>
      </w:r>
      <w:bookmarkEnd w:id="15"/>
    </w:p>
    <w:p>
      <w:pPr>
        <w:pStyle w:val="Body"/>
      </w:pPr>
      <w:r>
        <w:rPr/>
        <w:t xml:space="preserve">Providers must keep the event logs that a high-risk AI system generates under Article 12, to the extent those logs are within their control, for a period appropriate to the system's intended purpose and in any case for at least six months, unless Union or national law on personal data sets a different period. Financial institutions keep the logs under their sector rules.</w:t>
      </w:r>
    </w:p>
    <w:p>
      <w:pPr>
        <w:pStyle w:val="Body"/>
      </w:pPr>
      <w:r>
        <w:rPr/>
        <w:t xml:space="preserve">In practice: Configure log retention for hosted or API-served high-risk systems to at least six months with a documented rationale for any longer period.</w:t>
      </w:r>
    </w:p>
    <w:p>
      <w:pPr>
        <w:pStyle w:val="Small"/>
      </w:pPr>
      <w:r>
        <w:rPr>
          <w:color w:val="5D6B7E"/>
          <w:sz w:val="18"/>
          <w:szCs w:val="18"/>
          <w:i w:val="1"/>
          <w:iCs w:val="1"/>
        </w:rPr>
        <w:t xml:space="preserve">Evidence a reviewer would expect: Log retention configuration and policy; Sample log export demonstrating retention period.</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3" w:history="1">
        <w:r>
          <w:rPr>
            <w:color w:val="006AAC"/>
            <w:sz w:val="18"/>
            <w:szCs w:val="18"/>
            <w:u w:val="single"/>
          </w:rPr>
          <w:t xml:space="preserve">Providers must retain automatically generated logs under their control — EU AI Act, Article 19 (European Union)</w:t>
        </w:r>
      </w:hyperlink>
    </w:p>
    <w:p>
      <w:pPr>
        <w:pStyle w:val="Heading2"/>
      </w:pPr>
      <w:bookmarkStart w:id="16" w:name="_Toc17"/>
      <w:r>
        <w:t>Providers must document and register a conclusion that an Annex III system is not high-risk</w:t>
      </w:r>
      <w:bookmarkEnd w:id="16"/>
    </w:p>
    <w:p>
      <w:pPr>
        <w:pStyle w:val="Body"/>
      </w:pPr>
      <w:r>
        <w:rPr/>
        <w:t xml:space="preserve">A provider that considers a system listed in Annex III to be outside the high-risk tier because it meets one of the Article 6(3) conditions, such as performing a narrow procedural task or only preparing a human assessment, must write down that assessment before placing the system on the market or putting it into service, register the system in the EU database under Article 49(2), and hand over the assessment on request from a national competent authority.</w:t>
      </w:r>
    </w:p>
    <w:p>
      <w:pPr>
        <w:pStyle w:val="Body"/>
      </w:pPr>
      <w:r>
        <w:rPr/>
        <w:t xml:space="preserve">In practice: Record a reasoned Article 6(3) assessment in the design file and register the system before launch rather than relying on an informal judgement.</w:t>
      </w:r>
    </w:p>
    <w:p>
      <w:pPr>
        <w:pStyle w:val="Small"/>
      </w:pPr>
      <w:r>
        <w:rPr>
          <w:color w:val="5D6B7E"/>
          <w:sz w:val="18"/>
          <w:szCs w:val="18"/>
          <w:i w:val="1"/>
          <w:iCs w:val="1"/>
        </w:rPr>
        <w:t xml:space="preserve">Evidence a reviewer would expect: Article 6(3) classification assessment; EU database registration entry.</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4" w:history="1">
        <w:r>
          <w:rPr>
            <w:color w:val="006AAC"/>
            <w:sz w:val="18"/>
            <w:szCs w:val="18"/>
            <w:u w:val="single"/>
          </w:rPr>
          <w:t xml:space="preserve">Providers must document and register a conclusion that an Annex III system is not high-risk — EU AI Act, Article 6(4); Article 49(2) (European Union)</w:t>
        </w:r>
      </w:hyperlink>
    </w:p>
    <w:p>
      <w:pPr>
        <w:pStyle w:val="Heading2"/>
      </w:pPr>
      <w:bookmarkStart w:id="17" w:name="_Toc18"/>
      <w:r>
        <w:t>Providers of GPAI models must maintain technical documentation and inform downstream providers</w:t>
      </w:r>
      <w:bookmarkEnd w:id="17"/>
    </w:p>
    <w:p>
      <w:pPr>
        <w:pStyle w:val="Body"/>
      </w:pPr>
      <w:r>
        <w:rPr/>
        <w:t xml:space="preserve">Providers of general-purpose AI models must draw up and keep up to date technical documentation covering the training and testing process and evaluation results, as set in Annex XI, and supply it to the AI Office or national authorities on request. They must also keep current the Annex XII information for providers that integrate the model into their own AI systems, so those providers understand its capabilities and limitations and can meet their own duties. Free and open-source models without systemic risk are exempt from both duties.</w:t>
      </w:r>
    </w:p>
    <w:p>
      <w:pPr>
        <w:pStyle w:val="Body"/>
      </w:pPr>
      <w:r>
        <w:rPr/>
        <w:t xml:space="preserve">In practice: Maintain a model card and technical file aligned to Annexes XI and XII with version control tied to each model release.</w:t>
      </w:r>
    </w:p>
    <w:p>
      <w:pPr>
        <w:pStyle w:val="Small"/>
      </w:pPr>
      <w:r>
        <w:rPr>
          <w:color w:val="5D6B7E"/>
          <w:sz w:val="18"/>
          <w:szCs w:val="18"/>
          <w:i w:val="1"/>
          <w:iCs w:val="1"/>
        </w:rPr>
        <w:t xml:space="preserve">Evidence a reviewer would expect: Annex XI technical documentation; Annex XII downstream integration documentation.</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5" w:history="1">
        <w:r>
          <w:rPr>
            <w:color w:val="006AAC"/>
            <w:sz w:val="18"/>
            <w:szCs w:val="18"/>
            <w:u w:val="single"/>
          </w:rPr>
          <w:t xml:space="preserve">Providers of GPAI models must maintain technical documentation and inform downstream providers — EU AI Act, Article 53(1)(a) and 53(1)(b); Annexes XI and XII (European Union)</w:t>
        </w:r>
      </w:hyperlink>
    </w:p>
    <w:p>
      <w:pPr>
        <w:pStyle w:val="Heading2"/>
      </w:pPr>
      <w:bookmarkStart w:id="18" w:name="_Toc19"/>
      <w:r>
        <w:t>Providers of systemic-risk GPAI models must secure the model and its infrastructure</w:t>
      </w:r>
      <w:bookmarkEnd w:id="18"/>
    </w:p>
    <w:p>
      <w:pPr>
        <w:pStyle w:val="Body"/>
      </w:pPr>
      <w:r>
        <w:rPr/>
        <w:t xml:space="preserve">Providers of general-purpose AI models with systemic risk must ensure an adequate level of cybersecurity protection for the model and for the physical infrastructure it runs on, which in practice covers protection of model weights, training and inference environments, and access controls against theft, tampering and unauthorised release. Codes of practice and harmonised standards may be used to show compliance.</w:t>
      </w:r>
    </w:p>
    <w:p>
      <w:pPr>
        <w:pStyle w:val="Body"/>
      </w:pPr>
      <w:r>
        <w:rPr/>
        <w:t xml:space="preserve">In practice: Apply a documented security standard to weight storage, training clusters and inference endpoints, with penetration tests and insider-risk controls.</w:t>
      </w:r>
    </w:p>
    <w:p>
      <w:pPr>
        <w:pStyle w:val="Small"/>
      </w:pPr>
      <w:r>
        <w:rPr>
          <w:color w:val="5D6B7E"/>
          <w:sz w:val="18"/>
          <w:szCs w:val="18"/>
          <w:i w:val="1"/>
          <w:iCs w:val="1"/>
        </w:rPr>
        <w:t xml:space="preserve">Evidence a reviewer would expect: Model and infrastructure security assessment; Weight access control records.</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6" w:history="1">
        <w:r>
          <w:rPr>
            <w:color w:val="006AAC"/>
            <w:sz w:val="18"/>
            <w:szCs w:val="18"/>
            <w:u w:val="single"/>
          </w:rPr>
          <w:t xml:space="preserve">Providers of systemic-risk GPAI models must secure the model and its infrastructure — EU AI Act, Article 55(1)(d) (European Union)</w:t>
        </w:r>
      </w:hyperlink>
    </w:p>
    <w:p>
      <w:pPr>
        <w:pStyle w:val="Heading2"/>
      </w:pPr>
      <w:bookmarkStart w:id="19" w:name="_Toc20"/>
      <w:r>
        <w:t>Employers and employment agencies must obtain an independent bias audit before using an automated employment decision tool</w:t>
      </w:r>
      <w:bookmarkEnd w:id="19"/>
    </w:p>
    <w:p>
      <w:pPr>
        <w:pStyle w:val="Body"/>
      </w:pPr>
      <w:r>
        <w:rPr/>
        <w:t xml:space="preserve">An automated employment decision tool may not be used to screen candidates or employees for hiring or promotion in New York City unless it has been the subject of a bias audit by an independent auditor within the year before use. The audit calculates selection rates and impact ratios by sex, race/ethnicity and their intersections, and scoring-rate comparisons for tools that score rather than select, using the employer's historical data or, where insufficient, test data as the DCWP rules allow.</w:t>
      </w:r>
    </w:p>
    <w:p>
      <w:pPr>
        <w:pStyle w:val="Body"/>
      </w:pPr>
      <w:r>
        <w:rPr/>
        <w:t xml:space="preserve">In practice: Commission an annual independent bias audit for each tool, supplying historical outcome data by protected category, and calendar the twelve-month expiry.</w:t>
      </w:r>
    </w:p>
    <w:p>
      <w:pPr>
        <w:pStyle w:val="Small"/>
      </w:pPr>
      <w:r>
        <w:rPr>
          <w:color w:val="5D6B7E"/>
          <w:sz w:val="18"/>
          <w:szCs w:val="18"/>
          <w:i w:val="1"/>
          <w:iCs w:val="1"/>
        </w:rPr>
        <w:t xml:space="preserve">Evidence a reviewer would expect: Independent bias audit report; Audit data extract and category mapping.</w:t>
      </w:r>
    </w:p>
    <w:p>
      <w:pPr>
        <w:pStyle w:val="Body"/>
      </w:pPr>
      <w:r>
        <w:rPr>
          <w:color w:val="B45309"/>
          <w:b w:val="1"/>
          <w:bCs w:val="1"/>
        </w:rPr>
        <w:t xml:space="preserve">[PLACEHOLDER: Where in the file this duty is met]</w:t>
      </w:r>
    </w:p>
    <w:p>
      <w:pPr>
        <w:pStyle w:val="Small"/>
      </w:pPr>
      <w:r>
        <w:rPr>
          <w:color w:val="5D6B7E"/>
          <w:sz w:val="18"/>
          <w:szCs w:val="18"/>
        </w:rPr>
        <w:t xml:space="preserve">Source: </w:t>
      </w:r>
      <w:hyperlink r:id="rId17" w:history="1">
        <w:r>
          <w:rPr>
            <w:color w:val="006AAC"/>
            <w:sz w:val="18"/>
            <w:szCs w:val="18"/>
            <w:u w:val="single"/>
          </w:rPr>
          <w:t xml:space="preserve">Employers and employment agencies must obtain an independent bias audit before using an automated employment decision tool — NYC Local Law 144 (automated employment decision tools), NYC Administrative Code Section 20-871(a)(1); 6 RCNY Section 5-301 (New York (United States))</w:t>
        </w:r>
      </w:hyperlink>
    </w:p>
    <w:sectPr>
      <w:footerReference w:type="default" r:id="rId18"/>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System Technical Documentation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1F911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system-technical-documentation" TargetMode="External"/><Relationship Id="rId8" Type="http://schemas.openxmlformats.org/officeDocument/2006/relationships/hyperlink" Target="https://aipolicytracker.org/obligations/us-colorado-developer-documentation-and-disclosure" TargetMode="External"/><Relationship Id="rId9" Type="http://schemas.openxmlformats.org/officeDocument/2006/relationships/hyperlink" Target="https://aipolicytracker.org/obligations/eu-ai-act-technical-documentation" TargetMode="External"/><Relationship Id="rId10" Type="http://schemas.openxmlformats.org/officeDocument/2006/relationships/hyperlink" Target="https://aipolicytracker.org/obligations/eu-ai-act-record-keeping" TargetMode="External"/><Relationship Id="rId11" Type="http://schemas.openxmlformats.org/officeDocument/2006/relationships/hyperlink" Target="https://aipolicytracker.org/obligations/eu-ai-act-accuracy-robustness-cybersecurity" TargetMode="External"/><Relationship Id="rId12" Type="http://schemas.openxmlformats.org/officeDocument/2006/relationships/hyperlink" Target="https://aipolicytracker.org/obligations/eu-ai-act-art-18-documentation-keeping" TargetMode="External"/><Relationship Id="rId13" Type="http://schemas.openxmlformats.org/officeDocument/2006/relationships/hyperlink" Target="https://aipolicytracker.org/obligations/eu-ai-act-art-19-provider-log-retention" TargetMode="External"/><Relationship Id="rId14" Type="http://schemas.openxmlformats.org/officeDocument/2006/relationships/hyperlink" Target="https://aipolicytracker.org/obligations/eu-ai-act-art-6-4-non-high-risk-assessment-documentation" TargetMode="External"/><Relationship Id="rId15" Type="http://schemas.openxmlformats.org/officeDocument/2006/relationships/hyperlink" Target="https://aipolicytracker.org/obligations/eu-ai-act-art-53-gpai-technical-and-downstream-documentation" TargetMode="External"/><Relationship Id="rId16" Type="http://schemas.openxmlformats.org/officeDocument/2006/relationships/hyperlink" Target="https://aipolicytracker.org/obligations/eu-ai-act-art-55-systemic-risk-cybersecurity" TargetMode="External"/><Relationship Id="rId17" Type="http://schemas.openxmlformats.org/officeDocument/2006/relationships/hyperlink" Target="https://aipolicytracker.org/obligations/us-new-york-city-local-law-144-bias-audit"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System Technical Documentation</dc:title>
  <dc:description>The technical file a high-risk system needs: one section per element the recorded documentation duties name, with placeholders, plus a document register.</dc:description>
  <dc:subject/>
  <cp:keywords/>
  <cp:category/>
  <cp:lastModifiedBy/>
  <dcterms:created xsi:type="dcterms:W3CDTF">2026-09-26T13:04:01+00:00</dcterms:created>
  <dcterms:modified xsi:type="dcterms:W3CDTF">2026-09-26T13:04:01+00:00</dcterms:modified>
</cp:coreProperties>
</file>

<file path=docProps/custom.xml><?xml version="1.0" encoding="utf-8"?>
<Properties xmlns="http://schemas.openxmlformats.org/officeDocument/2006/custom-properties" xmlns:vt="http://schemas.openxmlformats.org/officeDocument/2006/docPropsVTypes"/>
</file>