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AI Vendor Due-Diligence Questionnaire</w:t>
      </w:r>
    </w:p>
    <w:p>
      <w:pPr>
        <w:pStyle w:val="Body"/>
      </w:pPr>
      <w:r>
        <w:rPr/>
        <w:t xml:space="preserve">Questions to put to an AI vendor, grouped by governance, data, model, security, transparency, incidents, and insurance and indemnity, scored automatically.</w:t>
      </w:r>
    </w:p>
    <w:tbl>
      <w:tblGrid>
        <w:gridCol w:w="2400" w:type="dxa"/>
        <w:gridCol w:w="7200" w:type="dxa"/>
      </w:tblGrid>
      <w:tblPr>
        <w:tblStyle w:val="Grid"/>
      </w:tblPr>
      <w:tr>
        <w:trPr/>
        <w:tc>
          <w:tcPr>
            <w:tcW w:w="2400" w:type="dxa"/>
            <w:noWrap/>
          </w:tcPr>
          <w:p>
            <w:pPr/>
            <w:r>
              <w:rPr>
                <w:b w:val="1"/>
                <w:bCs w:val="1"/>
              </w:rPr>
              <w:t xml:space="preserve">Version</w:t>
            </w:r>
          </w:p>
        </w:tc>
        <w:tc>
          <w:tcPr>
            <w:tcW w:w="7200" w:type="dxa"/>
            <w:noWrap/>
          </w:tcPr>
          <w:p>
            <w:pPr/>
            <w:r>
              <w:rPr/>
              <w:t xml:space="preserve">v1</w:t>
            </w:r>
          </w:p>
        </w:tc>
      </w:tr>
      <w:tr>
        <w:trPr/>
        <w:tc>
          <w:tcPr>
            <w:tcW w:w="2400" w:type="dxa"/>
            <w:noWrap/>
          </w:tcPr>
          <w:p>
            <w:pPr/>
            <w:r>
              <w:rPr>
                <w:b w:val="1"/>
                <w:bCs w:val="1"/>
              </w:rPr>
              <w:t xml:space="preserve">Generated</w:t>
            </w:r>
          </w:p>
        </w:tc>
        <w:tc>
          <w:tcPr>
            <w:tcW w:w="7200" w:type="dxa"/>
            <w:noWrap/>
          </w:tcPr>
          <w:p>
            <w:pPr/>
            <w:r>
              <w:rPr/>
              <w:t xml:space="preserve">2026-09-26</w:t>
            </w:r>
          </w:p>
        </w:tc>
      </w:tr>
      <w:tr>
        <w:trPr/>
        <w:tc>
          <w:tcPr>
            <w:tcW w:w="2400" w:type="dxa"/>
            <w:noWrap/>
          </w:tcPr>
          <w:p>
            <w:pPr/>
            <w:r>
              <w:rPr>
                <w:b w:val="1"/>
                <w:bCs w:val="1"/>
              </w:rPr>
              <w:t xml:space="preserve">Dataset version</w:t>
            </w:r>
          </w:p>
        </w:tc>
        <w:tc>
          <w:tcPr>
            <w:tcW w:w="7200" w:type="dxa"/>
            <w:noWrap/>
          </w:tcPr>
          <w:p>
            <w:pPr/>
            <w:r>
              <w:rPr/>
              <w:t xml:space="preserve">914895c3103e</w:t>
            </w:r>
          </w:p>
        </w:tc>
      </w:tr>
      <w:tr>
        <w:trPr/>
        <w:tc>
          <w:tcPr>
            <w:tcW w:w="2400" w:type="dxa"/>
            <w:noWrap/>
          </w:tcPr>
          <w:p>
            <w:pPr/>
            <w:r>
              <w:rPr>
                <w:b w:val="1"/>
                <w:bCs w:val="1"/>
              </w:rPr>
              <w:t xml:space="preserve">Source</w:t>
            </w:r>
          </w:p>
        </w:tc>
        <w:tc>
          <w:tcPr>
            <w:tcW w:w="7200" w:type="dxa"/>
            <w:noWrap/>
          </w:tcPr>
          <w:p>
            <w:hyperlink r:id="rId7" w:history="1">
              <w:r>
                <w:rPr>
                  <w:color w:val="006AAC"/>
                  <w:u w:val="single"/>
                </w:rPr>
                <w:t xml:space="preserve">https://aipolicytracker.org/templates/ai-vendor-due-diligence-questionnaire</w:t>
              </w:r>
            </w:hyperlink>
          </w:p>
        </w:tc>
      </w:tr>
      <w:tr>
        <w:trPr/>
        <w:tc>
          <w:tcPr>
            <w:tcW w:w="2400" w:type="dxa"/>
            <w:noWrap/>
          </w:tcPr>
          <w:p>
            <w:pPr/>
            <w:r>
              <w:rPr>
                <w:b w:val="1"/>
                <w:bCs w:val="1"/>
              </w:rPr>
              <w:t xml:space="preserve">Licence</w:t>
            </w:r>
          </w:p>
        </w:tc>
        <w:tc>
          <w:tcPr>
            <w:tcW w:w="7200" w:type="dxa"/>
            <w:noWrap/>
          </w:tcPr>
          <w:p>
            <w:pPr/>
            <w:r>
              <w:rPr/>
              <w:t xml:space="preserve">CC BY 4.0. You may use, adapt and share this template, including commercially, with attribution to aipolicytracker.org.</w:t>
            </w:r>
          </w:p>
        </w:tc>
      </w:tr>
    </w:tbl>
    <w:p/>
    <w:p>
      <w:pPr/>
      <w:r>
        <w:rPr>
          <w:b w:val="1"/>
          <w:bCs w:val="1"/>
        </w:rPr>
        <w:t xml:space="preserve">Disclaimer</w:t>
      </w:r>
    </w:p>
    <w:p>
      <w:pPr>
        <w:pStyle w:val="Small"/>
      </w:pPr>
      <w:r>
        <w:rPr>
          <w:color w:val="5D6B7E"/>
          <w:sz w:val="18"/>
          <w:szCs w:val="18"/>
        </w:rPr>
        <w:t xml:space="preserve">This template is generated from the records on aipolicytracker.org. It is an informational resource, not legal advice, and completing it does not make an organisation compliant with any law or standard. Every row that cites a duty links to the record it came from; check the official source before relying on it.</w:t>
      </w:r>
    </w:p>
    <w:p>
      <w:pPr>
        <w:pStyle w:val="Small"/>
      </w:pPr>
      <w:r>
        <w:rPr>
          <w:color w:val="5D6B7E"/>
          <w:sz w:val="18"/>
          <w:szCs w:val="18"/>
        </w:rPr>
        <w:t xml:space="preserve">Placeholders are shown as [PLACEHOLDER: …] in amber. Replace every one before the document is used; a search for "[PLACEHOLDER" finds any that remain.</w:t>
      </w:r>
    </w:p>
    <w:p>
      <w:pPr/>
      <w:r>
        <w:rPr>
          <w:b w:val="1"/>
          <w:bCs w:val="1"/>
        </w:rPr>
        <w:t xml:space="preserve">Contents</w:t>
      </w:r>
    </w:p>
    <w:p>
      <w:pPr>
        <w:tabs>
          <w:tab w:val="right" w:leader="dot" w:pos="9062"/>
        </w:tabs>
      </w:pPr>
      <w:r>
        <w:fldChar w:fldCharType="begin"/>
      </w:r>
      <w:r>
        <w:instrText xml:space="preserve">TOC \o 1-2 \h \z \u</w:instrText>
      </w:r>
      <w:r>
        <w:fldChar w:fldCharType="separate"/>
      </w:r>
      <w:hyperlink w:anchor="_Toc1" w:history="1">
        <w:r>
          <w:rPr>
            <w:sz w:val="20"/>
            <w:szCs w:val="20"/>
          </w:rPr>
          <w:t>How to use this questionnaire</w:t>
        </w:r>
        <w:r>
          <w:tab/>
        </w:r>
        <w:r>
          <w:fldChar w:fldCharType="begin"/>
        </w:r>
        <w:r>
          <w:instrText xml:space="preserve">PAGEREF 1 \h</w:instrText>
        </w:r>
        <w:r>
          <w:fldChar w:fldCharType="end"/>
        </w:r>
      </w:hyperlink>
    </w:p>
    <w:p>
      <w:pPr>
        <w:tabs>
          <w:tab w:val="right" w:leader="dot" w:pos="9062"/>
        </w:tabs>
      </w:pPr>
      <w:hyperlink w:anchor="_Toc2" w:history="1">
        <w:r>
          <w:rPr>
            <w:sz w:val="20"/>
            <w:szCs w:val="20"/>
          </w:rPr>
          <w:t>Insurance and indemnity</w:t>
        </w:r>
        <w:r>
          <w:tab/>
        </w:r>
        <w:r>
          <w:fldChar w:fldCharType="begin"/>
        </w:r>
        <w:r>
          <w:instrText xml:space="preserve">PAGEREF 2 \h</w:instrText>
        </w:r>
        <w:r>
          <w:fldChar w:fldCharType="end"/>
        </w:r>
      </w:hyperlink>
    </w:p>
    <w:p>
      <w:pPr>
        <w:tabs>
          <w:tab w:val="right" w:leader="dot" w:pos="9062"/>
        </w:tabs>
      </w:pPr>
      <w:hyperlink w:anchor="_Toc3" w:history="1">
        <w:r>
          <w:rPr>
            <w:sz w:val="20"/>
            <w:szCs w:val="20"/>
          </w:rPr>
          <w:t>Duties this questionnaire serves</w:t>
        </w:r>
        <w:r>
          <w:tab/>
        </w:r>
        <w:r>
          <w:fldChar w:fldCharType="begin"/>
        </w:r>
        <w:r>
          <w:instrText xml:space="preserve">PAGEREF 3 \h</w:instrText>
        </w:r>
        <w:r>
          <w:fldChar w:fldCharType="end"/>
        </w:r>
      </w:hyperlink>
    </w:p>
    <w:p>
      <w:pPr>
        <w:tabs>
          <w:tab w:val="right" w:leader="dot" w:pos="9062"/>
        </w:tabs>
        <w:ind w:left="200"/>
      </w:pPr>
      <w:hyperlink w:anchor="_Toc4" w:history="1">
        <w:r>
          <w:rPr>
            <w:sz w:val="20"/>
            <w:szCs w:val="20"/>
          </w:rPr>
          <w:t>Provide contestability, supply-chain transparency and records (guardrails 7 to 9)</w:t>
        </w:r>
        <w:r>
          <w:tab/>
        </w:r>
        <w:r>
          <w:fldChar w:fldCharType="begin"/>
        </w:r>
        <w:r>
          <w:instrText xml:space="preserve">PAGEREF 4 \h</w:instrText>
        </w:r>
        <w:r>
          <w:fldChar w:fldCharType="end"/>
        </w:r>
      </w:hyperlink>
    </w:p>
    <w:p>
      <w:pPr>
        <w:tabs>
          <w:tab w:val="right" w:leader="dot" w:pos="9062"/>
        </w:tabs>
        <w:ind w:left="200"/>
      </w:pPr>
      <w:hyperlink w:anchor="_Toc5" w:history="1">
        <w:r>
          <w:rPr>
            <w:sz w:val="20"/>
            <w:szCs w:val="20"/>
          </w:rPr>
          <w:t>Verify conformity before importing or distributing high-risk AI</w:t>
        </w:r>
        <w:r>
          <w:tab/>
        </w:r>
        <w:r>
          <w:fldChar w:fldCharType="begin"/>
        </w:r>
        <w:r>
          <w:instrText xml:space="preserve">PAGEREF 5 \h</w:instrText>
        </w:r>
        <w:r>
          <w:fldChar w:fldCharType="end"/>
        </w:r>
      </w:hyperlink>
    </w:p>
    <w:p>
      <w:pPr>
        <w:tabs>
          <w:tab w:val="right" w:leader="dot" w:pos="9062"/>
        </w:tabs>
        <w:ind w:left="200"/>
      </w:pPr>
      <w:hyperlink w:anchor="_Toc6" w:history="1">
        <w:r>
          <w:rPr>
            <w:sz w:val="20"/>
            <w:szCs w:val="20"/>
          </w:rPr>
          <w:t>Providers of high-risk AI must have written agreements with suppliers of components, tools and services</w:t>
        </w:r>
        <w:r>
          <w:tab/>
        </w:r>
        <w:r>
          <w:fldChar w:fldCharType="begin"/>
        </w:r>
        <w:r>
          <w:instrText xml:space="preserve">PAGEREF 6 \h</w:instrText>
        </w:r>
        <w:r>
          <w:fldChar w:fldCharType="end"/>
        </w:r>
      </w:hyperlink>
    </w:p>
    <w:p>
      <w:r>
        <w:fldChar w:fldCharType="end"/>
      </w:r>
    </w:p>
    <w:p>
      <w:r>
        <w:br w:type="page"/>
      </w:r>
    </w:p>
    <w:p>
      <w:pPr>
        <w:pStyle w:val="Heading1"/>
      </w:pPr>
      <w:bookmarkStart w:id="0" w:name="_Toc1"/>
      <w:r>
        <w:t>How to use this questionnaire</w:t>
      </w:r>
      <w:bookmarkEnd w:id="0"/>
    </w:p>
    <w:p>
      <w:pPr>
        <w:pStyle w:val="Body"/>
      </w:pPr>
      <w:r>
        <w:rPr/>
        <w:t xml:space="preserve">Send the questionnaire sheet to the vendor; ask for the evidence, not only the answer. Score the responses and record your assessment. The duties sheet lists what the law expects you to have from a vendor, so a "No" can be weighed against a recorded requirement.</w:t>
      </w:r>
    </w:p>
    <w:p>
      <w:pPr>
        <w:pStyle w:val="Heading1"/>
      </w:pPr>
      <w:bookmarkStart w:id="1" w:name="_Toc2"/>
      <w:r>
        <w:t>Insurance and indemnity</w:t>
      </w:r>
      <w:bookmarkEnd w:id="1"/>
    </w:p>
    <w:p>
      <w:pPr>
        <w:pStyle w:val="Body"/>
      </w:pPr>
      <w:r>
        <w:rPr/>
        <w:t xml:space="preserve">The last section asks what protection you have if the system fails: whether the vendor's cover excludes AI claims, whether outputs are indemnified for intellectual-property claims, whether regulatory exposure is covered, and whether the same terms reach sub-processors. These questions decide who pays when something goes wrong; ask them before the contract is signed.</w:t>
      </w:r>
    </w:p>
    <w:p>
      <w:pPr>
        <w:pStyle w:val="Heading1"/>
      </w:pPr>
      <w:bookmarkStart w:id="2" w:name="_Toc3"/>
      <w:r>
        <w:t>Duties this questionnaire serves</w:t>
      </w:r>
      <w:bookmarkEnd w:id="2"/>
    </w:p>
    <w:p>
      <w:pPr>
        <w:pStyle w:val="Heading2"/>
      </w:pPr>
      <w:bookmarkStart w:id="3" w:name="_Toc4"/>
      <w:r>
        <w:t>Provide contestability, supply-chain transparency and records (guardrails 7 to 9)</w:t>
      </w:r>
      <w:bookmarkEnd w:id="3"/>
    </w:p>
    <w:p>
      <w:pPr>
        <w:pStyle w:val="Body"/>
      </w:pPr>
      <w:r>
        <w:rPr/>
        <w:t xml:space="preserve">Establish processes for people impacted by AI to challenge use or outcomes; be transparent with other organisations across the AI supply chain about data, models and systems; and keep and maintain records to allow third parties to assess compliance.</w:t>
      </w:r>
    </w:p>
    <w:p>
      <w:pPr>
        <w:pStyle w:val="Body"/>
      </w:pPr>
      <w:r>
        <w:rPr/>
        <w:t xml:space="preserve">In practice: Add AI clauses to supplier contracts and keep an AI system register with evidence links.</w:t>
      </w:r>
    </w:p>
    <w:p>
      <w:pPr>
        <w:pStyle w:val="Small"/>
      </w:pPr>
      <w:r>
        <w:rPr>
          <w:color w:val="5D6B7E"/>
          <w:sz w:val="18"/>
          <w:szCs w:val="18"/>
          <w:i w:val="1"/>
          <w:iCs w:val="1"/>
        </w:rPr>
        <w:t xml:space="preserve">Evidence a reviewer would expect: AI system register and supplier disclosures.</w:t>
      </w:r>
    </w:p>
    <w:p>
      <w:pPr>
        <w:pStyle w:val="Body"/>
      </w:pPr>
      <w:r>
        <w:rPr>
          <w:color w:val="B45309"/>
          <w:b w:val="1"/>
          <w:bCs w:val="1"/>
        </w:rPr>
        <w:t xml:space="preserve">[PLACEHOLDER: Which questions, and which contract terms, meet this duty]</w:t>
      </w:r>
    </w:p>
    <w:p>
      <w:pPr>
        <w:pStyle w:val="Small"/>
      </w:pPr>
      <w:r>
        <w:rPr>
          <w:color w:val="5D6B7E"/>
          <w:sz w:val="18"/>
          <w:szCs w:val="18"/>
        </w:rPr>
        <w:t xml:space="preserve">Source: </w:t>
      </w:r>
      <w:hyperlink r:id="rId8" w:history="1">
        <w:r>
          <w:rPr>
            <w:color w:val="006AAC"/>
            <w:sz w:val="18"/>
            <w:szCs w:val="18"/>
            <w:u w:val="single"/>
          </w:rPr>
          <w:t xml:space="preserve">Provide contestability, supply-chain transparency and records (guardrails 7 to 9) — Australian Voluntary AI Safety Standard, Guardrails 7, 8 and 9 (Australia)</w:t>
        </w:r>
      </w:hyperlink>
    </w:p>
    <w:p>
      <w:pPr>
        <w:pStyle w:val="Heading2"/>
      </w:pPr>
      <w:bookmarkStart w:id="4" w:name="_Toc5"/>
      <w:r>
        <w:t>Verify conformity before importing or distributing high-risk AI</w:t>
      </w:r>
      <w:bookmarkEnd w:id="4"/>
    </w:p>
    <w:p>
      <w:pPr>
        <w:pStyle w:val="Body"/>
      </w:pPr>
      <w:r>
        <w:rPr/>
        <w:t xml:space="preserve">Importers must verify that the provider completed conformity assessment, drew up technical documentation, affixed CE marking and appointed an authorised representative where required, and must indicate their name and contact details on the system. Distributors must verify CE marking, the declaration of conformity and instructions, and refrain from making non-compliant systems available.</w:t>
      </w:r>
    </w:p>
    <w:p>
      <w:pPr>
        <w:pStyle w:val="Body"/>
      </w:pPr>
      <w:r>
        <w:rPr/>
        <w:t xml:space="preserve">In practice: Build AI Act checks into supplier onboarding and contract clauses.</w:t>
      </w:r>
    </w:p>
    <w:p>
      <w:pPr>
        <w:pStyle w:val="Small"/>
      </w:pPr>
      <w:r>
        <w:rPr>
          <w:color w:val="5D6B7E"/>
          <w:sz w:val="18"/>
          <w:szCs w:val="18"/>
          <w:i w:val="1"/>
          <w:iCs w:val="1"/>
        </w:rPr>
        <w:t xml:space="preserve">Evidence a reviewer would expect: Supplier due-diligence checklist.</w:t>
      </w:r>
    </w:p>
    <w:p>
      <w:pPr>
        <w:pStyle w:val="Body"/>
      </w:pPr>
      <w:r>
        <w:rPr>
          <w:color w:val="B45309"/>
          <w:b w:val="1"/>
          <w:bCs w:val="1"/>
        </w:rPr>
        <w:t xml:space="preserve">[PLACEHOLDER: Which questions, and which contract terms, meet this duty]</w:t>
      </w:r>
    </w:p>
    <w:p>
      <w:pPr>
        <w:pStyle w:val="Small"/>
      </w:pPr>
      <w:r>
        <w:rPr>
          <w:color w:val="5D6B7E"/>
          <w:sz w:val="18"/>
          <w:szCs w:val="18"/>
        </w:rPr>
        <w:t xml:space="preserve">Source: </w:t>
      </w:r>
      <w:hyperlink r:id="rId9" w:history="1">
        <w:r>
          <w:rPr>
            <w:color w:val="006AAC"/>
            <w:sz w:val="18"/>
            <w:szCs w:val="18"/>
            <w:u w:val="single"/>
          </w:rPr>
          <w:t xml:space="preserve">Verify conformity before importing or distributing high-risk AI — EU AI Act, Articles 23 and 24 (European Union)</w:t>
        </w:r>
      </w:hyperlink>
    </w:p>
    <w:p>
      <w:pPr>
        <w:pStyle w:val="Heading2"/>
      </w:pPr>
      <w:bookmarkStart w:id="5" w:name="_Toc6"/>
      <w:r>
        <w:t>Providers of high-risk AI must have written agreements with suppliers of components, tools and services</w:t>
      </w:r>
      <w:bookmarkEnd w:id="5"/>
    </w:p>
    <w:p>
      <w:pPr>
        <w:pStyle w:val="Body"/>
      </w:pPr>
      <w:r>
        <w:rPr/>
        <w:t xml:space="preserve">A provider of a high-risk AI system and any third party that supplies AI systems, tools, services, components or processes used in or integrated into it must set out, in a written agreement, the information, capabilities, technical access and other assistance needed for the provider to meet its obligations, based on the generally acknowledged state of the art. Suppliers of free and open-source tools and components other than general-purpose AI models are outside this duty. The AI Office may publish voluntary model terms.</w:t>
      </w:r>
    </w:p>
    <w:p>
      <w:pPr>
        <w:pStyle w:val="Body"/>
      </w:pPr>
      <w:r>
        <w:rPr/>
        <w:t xml:space="preserve">In practice: Insert AI Act information, access and assistance clauses into contracts with model, data and component suppliers.</w:t>
      </w:r>
    </w:p>
    <w:p>
      <w:pPr>
        <w:pStyle w:val="Small"/>
      </w:pPr>
      <w:r>
        <w:rPr>
          <w:color w:val="5D6B7E"/>
          <w:sz w:val="18"/>
          <w:szCs w:val="18"/>
          <w:i w:val="1"/>
          <w:iCs w:val="1"/>
        </w:rPr>
        <w:t xml:space="preserve">Evidence a reviewer would expect: Supplier agreement with AI Act information and access clauses; Supplier register with agreement status.</w:t>
      </w:r>
    </w:p>
    <w:p>
      <w:pPr>
        <w:pStyle w:val="Body"/>
      </w:pPr>
      <w:r>
        <w:rPr>
          <w:color w:val="B45309"/>
          <w:b w:val="1"/>
          <w:bCs w:val="1"/>
        </w:rPr>
        <w:t xml:space="preserve">[PLACEHOLDER: Which questions, and which contract terms, meet this duty]</w:t>
      </w:r>
    </w:p>
    <w:p>
      <w:pPr>
        <w:pStyle w:val="Small"/>
      </w:pPr>
      <w:r>
        <w:rPr>
          <w:color w:val="5D6B7E"/>
          <w:sz w:val="18"/>
          <w:szCs w:val="18"/>
        </w:rPr>
        <w:t xml:space="preserve">Source: </w:t>
      </w:r>
      <w:hyperlink r:id="rId10" w:history="1">
        <w:r>
          <w:rPr>
            <w:color w:val="006AAC"/>
            <w:sz w:val="18"/>
            <w:szCs w:val="18"/>
            <w:u w:val="single"/>
          </w:rPr>
          <w:t xml:space="preserve">Providers of high-risk AI must have written agreements with suppliers of components, tools and services — EU AI Act, Article 25(4) (European Union)</w:t>
        </w:r>
      </w:hyperlink>
    </w:p>
    <w:sectPr>
      <w:footerReference w:type="default" r:id="rId11"/>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5D6B7E"/>
        <w:sz w:val="16"/>
        <w:szCs w:val="16"/>
      </w:rPr>
      <w:t xml:space="preserve">AI Vendor Due-Diligence Questionnaire · vv1 · aipolicytracker.org · page </w:t>
    </w:r>
    <w:r>
      <w:fldChar w:fldCharType="begin"/>
    </w:r>
    <w:r>
      <w:rPr>
        <w:color w:val="5D6B7E"/>
        <w:sz w:val="16"/>
        <w:szCs w:val="16"/>
      </w:rPr>
      <w:instrText xml:space="preserve">PAGE</w:instrText>
    </w:r>
    <w:r>
      <w:fldChar w:fldCharType="separate"/>
    </w:r>
    <w:r>
      <w:fldChar w:fldCharType="end"/>
    </w:r>
    <w:r>
      <w:rPr>
        <w:color w:val="5D6B7E"/>
        <w:sz w:val="16"/>
        <w:szCs w:val="16"/>
      </w:rPr>
      <w:t xml:space="preserve"> of </w:t>
    </w:r>
    <w:r>
      <w:fldChar w:fldCharType="begin"/>
    </w:r>
    <w:r>
      <w:rPr>
        <w:color w:val="5D6B7E"/>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Title">
    <w:link w:val="titleChar"/>
    <w:name w:val="title"/>
    <w:basedOn w:val="Normal"/>
    <w:pPr>
      <w:spacing w:after="240"/>
    </w:pPr>
    <w:rPr>
      <w:color w:val="002147"/>
      <w:sz w:val="44"/>
      <w:szCs w:val="44"/>
      <w:b w:val="1"/>
      <w:bCs w:val="1"/>
    </w:rPr>
  </w:style>
  <w:style w:type="paragraph" w:styleId="Heading1">
    <w:link w:val="Heading1Char"/>
    <w:name w:val="heading 1"/>
    <w:basedOn w:val="Normal"/>
    <w:pPr>
      <w:spacing w:before="360" w:after="120"/>
    </w:pPr>
    <w:rPr>
      <w:color w:val="002147"/>
      <w:sz w:val="32"/>
      <w:szCs w:val="32"/>
      <w:b w:val="1"/>
      <w:bCs w:val="1"/>
    </w:rPr>
  </w:style>
  <w:style w:type="paragraph" w:styleId="Heading2">
    <w:link w:val="Heading2Char"/>
    <w:name w:val="heading 2"/>
    <w:basedOn w:val="Normal"/>
    <w:pPr>
      <w:spacing w:before="240" w:after="80"/>
    </w:pPr>
    <w:rPr>
      <w:color w:val="002147"/>
      <w:sz w:val="26"/>
      <w:szCs w:val="26"/>
      <w:b w:val="1"/>
      <w:bCs w:val="1"/>
    </w:rPr>
  </w:style>
  <w:style w:type="paragraph" w:styleId="Heading3">
    <w:link w:val="Heading3Char"/>
    <w:name w:val="heading 3"/>
    <w:basedOn w:val="Normal"/>
    <w:pPr>
      <w:spacing w:before="160" w:after="60"/>
    </w:pPr>
    <w:rPr>
      <w:sz w:val="22"/>
      <w:szCs w:val="22"/>
      <w:b w:val="1"/>
      <w:bCs w:val="1"/>
    </w:rPr>
  </w:style>
  <w:style w:type="paragraph" w:customStyle="1" w:styleId="Body">
    <w:name w:val="Body"/>
    <w:basedOn w:val="Normal"/>
    <w:pPr>
      <w:spacing w:after="120" w:line="276" w:lineRule="auto"/>
    </w:pPr>
  </w:style>
  <w:style w:type="paragraph" w:customStyle="1" w:styleId="Small">
    <w:name w:val="Small"/>
    <w:basedOn w:val="Normal"/>
    <w:pPr>
      <w:spacing w:after="80"/>
    </w:p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BFC7D3"/>
        <w:left w:val="single" w:sz="4" w:color="BFC7D3"/>
        <w:right w:val="single" w:sz="4" w:color="BFC7D3"/>
        <w:bottom w:val="single" w:sz="4" w:color="BFC7D3"/>
        <w:insideH w:val="single" w:sz="4" w:color="BFC7D3"/>
        <w:insideV w:val="single" w:sz="4" w:color="BFC7D3"/>
      </w:tblBorders>
    </w:tblPr>
    <w:tblStylePr w:type="firstRow">
      <w:tcPr>
        <w:tcPr>
          <w:shd w:val="clear" w:fill="E8EDF3"/>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policytracker.org/templates/ai-vendor-due-diligence-questionnaire" TargetMode="External"/><Relationship Id="rId8" Type="http://schemas.openxmlformats.org/officeDocument/2006/relationships/hyperlink" Target="https://aipolicytracker.org/obligations/australia-vaiss-contestability-supply-chain-records" TargetMode="External"/><Relationship Id="rId9" Type="http://schemas.openxmlformats.org/officeDocument/2006/relationships/hyperlink" Target="https://aipolicytracker.org/obligations/eu-ai-act-importer-distributor-obligations" TargetMode="External"/><Relationship Id="rId10" Type="http://schemas.openxmlformats.org/officeDocument/2006/relationships/hyperlink" Target="https://aipolicytracker.org/obligations/eu-ai-act-art-25-4-written-agreements-with-component-suppliers"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aipolicytracker.org</dc:creator>
  <dc:title>AI Vendor Due-Diligence Questionnaire</dc:title>
  <dc:description>Questions to put to an AI vendor, grouped by governance, data, model, security, transparency, incidents, and insurance and indemnity, scored automatically.</dc:description>
  <dc:subject/>
  <cp:keywords/>
  <cp:category/>
  <cp:lastModifiedBy/>
  <dcterms:created xsi:type="dcterms:W3CDTF">2026-09-26T13:05:04+00:00</dcterms:created>
  <dcterms:modified xsi:type="dcterms:W3CDTF">2026-09-26T13:05:04+00:00</dcterms:modified>
</cp:coreProperties>
</file>

<file path=docProps/custom.xml><?xml version="1.0" encoding="utf-8"?>
<Properties xmlns="http://schemas.openxmlformats.org/officeDocument/2006/custom-properties" xmlns:vt="http://schemas.openxmlformats.org/officeDocument/2006/docPropsVTypes"/>
</file>