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EU AI Act Article 50 Transparency Kit</w:t>
      </w:r>
    </w:p>
    <w:p>
      <w:pPr>
        <w:pStyle w:val="Body"/>
      </w:pPr>
      <w:r>
        <w:rPr/>
        <w:t xml:space="preserve">Notice texts and a checklist for the transparency duties of Article 50: chatbot disclosure, synthetic content marking, deepfake and emotion-recognition notices, with the application date from the record.</w:t>
      </w:r>
    </w:p>
    <w:tbl>
      <w:tblGrid>
        <w:gridCol w:w="2400" w:type="dxa"/>
        <w:gridCol w:w="7200" w:type="dxa"/>
      </w:tblGrid>
      <w:tblPr>
        <w:tblStyle w:val="Grid"/>
      </w:tblPr>
      <w:tr>
        <w:trPr/>
        <w:tc>
          <w:tcPr>
            <w:tcW w:w="2400" w:type="dxa"/>
            <w:noWrap/>
          </w:tcPr>
          <w:p>
            <w:pPr/>
            <w:r>
              <w:rPr>
                <w:b w:val="1"/>
                <w:bCs w:val="1"/>
              </w:rPr>
              <w:t xml:space="preserve">Version</w:t>
            </w:r>
          </w:p>
        </w:tc>
        <w:tc>
          <w:tcPr>
            <w:tcW w:w="7200" w:type="dxa"/>
            <w:noWrap/>
          </w:tcPr>
          <w:p>
            <w:pPr/>
            <w:r>
              <w:rPr/>
              <w:t xml:space="preserve">v1</w:t>
            </w:r>
          </w:p>
        </w:tc>
      </w:tr>
      <w:tr>
        <w:trPr/>
        <w:tc>
          <w:tcPr>
            <w:tcW w:w="2400" w:type="dxa"/>
            <w:noWrap/>
          </w:tcPr>
          <w:p>
            <w:pPr/>
            <w:r>
              <w:rPr>
                <w:b w:val="1"/>
                <w:bCs w:val="1"/>
              </w:rPr>
              <w:t xml:space="preserve">Generated</w:t>
            </w:r>
          </w:p>
        </w:tc>
        <w:tc>
          <w:tcPr>
            <w:tcW w:w="7200" w:type="dxa"/>
            <w:noWrap/>
          </w:tcPr>
          <w:p>
            <w:pPr/>
            <w:r>
              <w:rPr/>
              <w:t xml:space="preserve">2026-09-26</w:t>
            </w:r>
          </w:p>
        </w:tc>
      </w:tr>
      <w:tr>
        <w:trPr/>
        <w:tc>
          <w:tcPr>
            <w:tcW w:w="2400" w:type="dxa"/>
            <w:noWrap/>
          </w:tcPr>
          <w:p>
            <w:pPr/>
            <w:r>
              <w:rPr>
                <w:b w:val="1"/>
                <w:bCs w:val="1"/>
              </w:rPr>
              <w:t xml:space="preserve">Dataset version</w:t>
            </w:r>
          </w:p>
        </w:tc>
        <w:tc>
          <w:tcPr>
            <w:tcW w:w="7200" w:type="dxa"/>
            <w:noWrap/>
          </w:tcPr>
          <w:p>
            <w:pPr/>
            <w:r>
              <w:rPr/>
              <w:t xml:space="preserve">914895c3103e</w:t>
            </w:r>
          </w:p>
        </w:tc>
      </w:tr>
      <w:tr>
        <w:trPr/>
        <w:tc>
          <w:tcPr>
            <w:tcW w:w="2400" w:type="dxa"/>
            <w:noWrap/>
          </w:tcPr>
          <w:p>
            <w:pPr/>
            <w:r>
              <w:rPr>
                <w:b w:val="1"/>
                <w:bCs w:val="1"/>
              </w:rPr>
              <w:t xml:space="preserve">Source</w:t>
            </w:r>
          </w:p>
        </w:tc>
        <w:tc>
          <w:tcPr>
            <w:tcW w:w="7200" w:type="dxa"/>
            <w:noWrap/>
          </w:tcPr>
          <w:p>
            <w:hyperlink r:id="rId7" w:history="1">
              <w:r>
                <w:rPr>
                  <w:color w:val="006AAC"/>
                  <w:u w:val="single"/>
                </w:rPr>
                <w:t xml:space="preserve">https://aipolicytracker.org/templates/article-50-transparency-kit</w:t>
              </w:r>
            </w:hyperlink>
          </w:p>
        </w:tc>
      </w:tr>
      <w:tr>
        <w:trPr/>
        <w:tc>
          <w:tcPr>
            <w:tcW w:w="2400" w:type="dxa"/>
            <w:noWrap/>
          </w:tcPr>
          <w:p>
            <w:pPr/>
            <w:r>
              <w:rPr>
                <w:b w:val="1"/>
                <w:bCs w:val="1"/>
              </w:rPr>
              <w:t xml:space="preserve">Licence</w:t>
            </w:r>
          </w:p>
        </w:tc>
        <w:tc>
          <w:tcPr>
            <w:tcW w:w="7200" w:type="dxa"/>
            <w:noWrap/>
          </w:tcPr>
          <w:p>
            <w:pPr/>
            <w:r>
              <w:rPr/>
              <w:t xml:space="preserve">CC BY 4.0. You may use, adapt and share this template, including commercially, with attribution to aipolicytracker.org.</w:t>
            </w:r>
          </w:p>
        </w:tc>
      </w:tr>
    </w:tbl>
    <w:p/>
    <w:p>
      <w:pPr/>
      <w:r>
        <w:rPr>
          <w:b w:val="1"/>
          <w:bCs w:val="1"/>
        </w:rPr>
        <w:t xml:space="preserve">Disclaimer</w:t>
      </w:r>
    </w:p>
    <w:p>
      <w:pPr>
        <w:pStyle w:val="Small"/>
      </w:pPr>
      <w:r>
        <w:rPr>
          <w:color w:val="5D6B7E"/>
          <w:sz w:val="18"/>
          <w:szCs w:val="18"/>
        </w:rPr>
        <w:t xml:space="preserve">This template is generated from the records on aipolicytracker.org. It is an informational resource, not legal advice, and completing it does not make an organisation compliant with any law or standard. Every row that cites a duty links to the record it came from; check the official source before relying on it.</w:t>
      </w:r>
    </w:p>
    <w:p>
      <w:pPr>
        <w:pStyle w:val="Small"/>
      </w:pPr>
      <w:r>
        <w:rPr>
          <w:color w:val="5D6B7E"/>
          <w:sz w:val="18"/>
          <w:szCs w:val="18"/>
        </w:rPr>
        <w:t xml:space="preserve">Placeholders are shown as [PLACEHOLDER: …] in amber. Replace every one before the document is used; a search for "[PLACEHOLDER" finds any that remain.</w:t>
      </w:r>
    </w:p>
    <w:p>
      <w:pPr/>
      <w:r>
        <w:rPr>
          <w:b w:val="1"/>
          <w:bCs w:val="1"/>
        </w:rPr>
        <w:t xml:space="preserve">Contents</w:t>
      </w:r>
    </w:p>
    <w:p>
      <w:pPr>
        <w:tabs>
          <w:tab w:val="right" w:leader="dot" w:pos="9062"/>
        </w:tabs>
      </w:pPr>
      <w:r>
        <w:fldChar w:fldCharType="begin"/>
      </w:r>
      <w:r>
        <w:instrText xml:space="preserve">TOC \o 1-2 \h \z \u</w:instrText>
      </w:r>
      <w:r>
        <w:fldChar w:fldCharType="separate"/>
      </w:r>
      <w:hyperlink w:anchor="_Toc1" w:history="1">
        <w:r>
          <w:rPr>
            <w:sz w:val="20"/>
            <w:szCs w:val="20"/>
          </w:rPr>
          <w:t>What Article 50 requires</w:t>
        </w:r>
        <w:r>
          <w:tab/>
        </w:r>
        <w:r>
          <w:fldChar w:fldCharType="begin"/>
        </w:r>
        <w:r>
          <w:instrText xml:space="preserve">PAGEREF 1 \h</w:instrText>
        </w:r>
        <w:r>
          <w:fldChar w:fldCharType="end"/>
        </w:r>
      </w:hyperlink>
    </w:p>
    <w:p>
      <w:pPr>
        <w:tabs>
          <w:tab w:val="right" w:leader="dot" w:pos="9062"/>
        </w:tabs>
        <w:ind w:left="200"/>
      </w:pPr>
      <w:hyperlink w:anchor="_Toc2" w:history="1">
        <w:r>
          <w:rPr>
            <w:sz w:val="20"/>
            <w:szCs w:val="20"/>
          </w:rPr>
          <w:t>Disclose AI interaction and label synthetic content</w:t>
        </w:r>
        <w:r>
          <w:tab/>
        </w:r>
        <w:r>
          <w:fldChar w:fldCharType="begin"/>
        </w:r>
        <w:r>
          <w:instrText xml:space="preserve">PAGEREF 2 \h</w:instrText>
        </w:r>
        <w:r>
          <w:fldChar w:fldCharType="end"/>
        </w:r>
      </w:hyperlink>
    </w:p>
    <w:p>
      <w:pPr>
        <w:tabs>
          <w:tab w:val="right" w:leader="dot" w:pos="9062"/>
        </w:tabs>
        <w:ind w:left="200"/>
      </w:pPr>
      <w:hyperlink w:anchor="_Toc4" w:history="1">
        <w:r>
          <w:rPr>
            <w:sz w:val="20"/>
            <w:szCs w:val="20"/>
          </w:rPr>
          <w:t>Providers of generative AI must mark synthetic output as artificially generated in a machine-readable way</w:t>
        </w:r>
        <w:r>
          <w:tab/>
        </w:r>
        <w:r>
          <w:fldChar w:fldCharType="begin"/>
        </w:r>
        <w:r>
          <w:instrText xml:space="preserve">PAGEREF 4 \h</w:instrText>
        </w:r>
        <w:r>
          <w:fldChar w:fldCharType="end"/>
        </w:r>
      </w:hyperlink>
    </w:p>
    <w:p>
      <w:pPr>
        <w:tabs>
          <w:tab w:val="right" w:leader="dot" w:pos="9062"/>
        </w:tabs>
        <w:ind w:left="200"/>
      </w:pPr>
      <w:hyperlink w:anchor="_Toc6" w:history="1">
        <w:r>
          <w:rPr>
            <w:sz w:val="20"/>
            <w:szCs w:val="20"/>
          </w:rPr>
          <w:t>Deployers of emotion recognition or biometric categorisation must inform exposed persons</w:t>
        </w:r>
        <w:r>
          <w:tab/>
        </w:r>
        <w:r>
          <w:fldChar w:fldCharType="begin"/>
        </w:r>
        <w:r>
          <w:instrText xml:space="preserve">PAGEREF 6 \h</w:instrText>
        </w:r>
        <w:r>
          <w:fldChar w:fldCharType="end"/>
        </w:r>
      </w:hyperlink>
    </w:p>
    <w:p>
      <w:pPr>
        <w:tabs>
          <w:tab w:val="right" w:leader="dot" w:pos="9062"/>
        </w:tabs>
        <w:ind w:left="200"/>
      </w:pPr>
      <w:hyperlink w:anchor="_Toc8" w:history="1">
        <w:r>
          <w:rPr>
            <w:sz w:val="20"/>
            <w:szCs w:val="20"/>
          </w:rPr>
          <w:t>Deployers must disclose deepfakes and AI-generated text published on matters of public interest</w:t>
        </w:r>
        <w:r>
          <w:tab/>
        </w:r>
        <w:r>
          <w:fldChar w:fldCharType="begin"/>
        </w:r>
        <w:r>
          <w:instrText xml:space="preserve">PAGEREF 8 \h</w:instrText>
        </w:r>
        <w:r>
          <w:fldChar w:fldCharType="end"/>
        </w:r>
      </w:hyperlink>
    </w:p>
    <w:p>
      <w:r>
        <w:fldChar w:fldCharType="end"/>
      </w:r>
    </w:p>
    <w:p>
      <w:r>
        <w:br w:type="page"/>
      </w:r>
    </w:p>
    <w:p>
      <w:pPr>
        <w:pStyle w:val="Heading1"/>
      </w:pPr>
      <w:bookmarkStart w:id="0" w:name="_Toc1"/>
      <w:r>
        <w:t>What Article 50 requires</w:t>
      </w:r>
      <w:bookmarkEnd w:id="0"/>
    </w:p>
    <w:p>
      <w:pPr>
        <w:pStyle w:val="Body"/>
      </w:pPr>
      <w:r>
        <w:rPr/>
        <w:t xml:space="preserve">Article 50 of the EU AI Act sets transparency duties for AI systems that interact with people, generate synthetic content, recognise emotions or categorise people biometrically, and generate deepfakes. Each duty on record is below, with a notice text to adapt.</w:t>
      </w:r>
    </w:p>
    <w:p>
      <w:pPr>
        <w:pStyle w:val="Small"/>
      </w:pPr>
      <w:r>
        <w:rPr>
          <w:color w:val="5D6B7E"/>
          <w:sz w:val="18"/>
          <w:szCs w:val="18"/>
          <w:i w:val="1"/>
          <w:iCs w:val="1"/>
        </w:rPr>
        <w:t xml:space="preserve">Dates as recorded on 26 September 2026. The record notes: Dates below follow Article 113 of the adopted text. The European Commission proposed a "Digital Omnibus" package in November 2025 that would adjust the application dates for some high-risk obligations; a reviewer must confirm whether that proposal has been adopted and update the deadlines accordingly.</w:t>
      </w:r>
    </w:p>
    <w:p>
      <w:pPr>
        <w:pStyle w:val="Heading2"/>
      </w:pPr>
      <w:bookmarkStart w:id="1" w:name="_Toc2"/>
      <w:r>
        <w:t>Disclose AI interaction and label synthetic content</w:t>
      </w:r>
      <w:bookmarkEnd w:id="1"/>
    </w:p>
    <w:p>
      <w:pPr>
        <w:pStyle w:val="Body"/>
      </w:pPr>
      <w:r>
        <w:rPr/>
        <w:t xml:space="preserve">Providers must ensure AI systems intended to interact with people inform them they are dealing with AI unless obvious; providers of systems generating synthetic audio, image, video or text must mark output in a machine-readable, detectable format; deployers of emotion-recognition or biometric-categorisation systems must inform exposed persons; deployers must disclose deepfakes and AI-generated text published to inform the public on matters of public interest, subject to exceptions.</w:t>
      </w:r>
    </w:p>
    <w:p>
      <w:pPr>
        <w:pStyle w:val="Heading3"/>
      </w:pPr>
      <w:bookmarkStart w:id="2" w:name="_Toc3"/>
      <w:r>
        <w:t>Notice for systems that interact with people</w:t>
      </w:r>
      <w:bookmarkEnd w:id="2"/>
    </w:p>
    <w:p>
      <w:pPr>
        <w:pStyle w:val="Body"/>
      </w:pPr>
      <w:r>
        <w:rPr/>
        <w:t xml:space="preserve">You are interacting with an AI system. [PLACEHOLDER: name of the system and the organisation responsible]. [PLACEHOLDER: how to reach a person, if the service offers one].</w:t>
      </w:r>
    </w:p>
    <w:p>
      <w:pPr>
        <w:pStyle w:val="Body"/>
      </w:pPr>
      <w:r>
        <w:rPr>
          <w:color w:val="B45309"/>
          <w:b w:val="1"/>
          <w:bCs w:val="1"/>
        </w:rPr>
        <w:t xml:space="preserve">[PLACEHOLDER: Where this notice appears in your product, and who owns it]</w:t>
      </w:r>
    </w:p>
    <w:p>
      <w:pPr>
        <w:pStyle w:val="Small"/>
      </w:pPr>
      <w:r>
        <w:rPr>
          <w:color w:val="5D6B7E"/>
          <w:sz w:val="18"/>
          <w:szCs w:val="18"/>
        </w:rPr>
        <w:t xml:space="preserve">Source: </w:t>
      </w:r>
      <w:hyperlink r:id="rId8" w:history="1">
        <w:r>
          <w:rPr>
            <w:color w:val="006AAC"/>
            <w:sz w:val="18"/>
            <w:szCs w:val="18"/>
            <w:u w:val="single"/>
          </w:rPr>
          <w:t xml:space="preserve">Disclose AI interaction and label synthetic content — EU AI Act, Article 50 (European Union)</w:t>
        </w:r>
      </w:hyperlink>
    </w:p>
    <w:p>
      <w:pPr>
        <w:pStyle w:val="Heading2"/>
      </w:pPr>
      <w:bookmarkStart w:id="3" w:name="_Toc4"/>
      <w:r>
        <w:t>Providers of generative AI must mark synthetic output as artificially generated in a machine-readable way</w:t>
      </w:r>
      <w:bookmarkEnd w:id="3"/>
    </w:p>
    <w:p>
      <w:pPr>
        <w:pStyle w:val="Body"/>
      </w:pPr>
      <w:r>
        <w:rPr/>
        <w:t xml:space="preserve">Providers of AI systems, including general-purpose AI systems, that generate synthetic audio, image, video or text must ensure the output is marked in a machine-readable format and detectable as artificially generated or manipulated. The technical solution must be effective, interoperable, robust and reliable as far as the state of the art allows, taking account of content type and cost. Systems that only perform assistive editing or do not substantially alter the input, and law-authorised criminal-detection uses, are outside the duty.</w:t>
      </w:r>
    </w:p>
    <w:p>
      <w:pPr>
        <w:pStyle w:val="Heading3"/>
      </w:pPr>
      <w:bookmarkStart w:id="4" w:name="_Toc5"/>
      <w:r>
        <w:t>Marking of synthetic content</w:t>
      </w:r>
      <w:bookmarkEnd w:id="4"/>
    </w:p>
    <w:p>
      <w:pPr>
        <w:pStyle w:val="Body"/>
      </w:pPr>
      <w:r>
        <w:rPr/>
        <w:t xml:space="preserve">This [image / audio / video / text] was generated or manipulated by an AI system. [PLACEHOLDER: the machine-readable marking or watermark applied, and the standard followed].</w:t>
      </w:r>
    </w:p>
    <w:p>
      <w:pPr>
        <w:pStyle w:val="Body"/>
      </w:pPr>
      <w:r>
        <w:rPr>
          <w:color w:val="B45309"/>
          <w:b w:val="1"/>
          <w:bCs w:val="1"/>
        </w:rPr>
        <w:t xml:space="preserve">[PLACEHOLDER: Where this notice appears in your product, and who owns it]</w:t>
      </w:r>
    </w:p>
    <w:p>
      <w:pPr>
        <w:pStyle w:val="Small"/>
      </w:pPr>
      <w:r>
        <w:rPr>
          <w:color w:val="5D6B7E"/>
          <w:sz w:val="18"/>
          <w:szCs w:val="18"/>
        </w:rPr>
        <w:t xml:space="preserve">Source: </w:t>
      </w:r>
      <w:hyperlink r:id="rId9" w:history="1">
        <w:r>
          <w:rPr>
            <w:color w:val="006AAC"/>
            <w:sz w:val="18"/>
            <w:szCs w:val="18"/>
            <w:u w:val="single"/>
          </w:rPr>
          <w:t xml:space="preserve">Providers of generative AI must mark synthetic output as artificially generated in a machine-readable way — EU AI Act, Article 50(2) (European Union)</w:t>
        </w:r>
      </w:hyperlink>
    </w:p>
    <w:p>
      <w:pPr>
        <w:pStyle w:val="Heading2"/>
      </w:pPr>
      <w:bookmarkStart w:id="5" w:name="_Toc6"/>
      <w:r>
        <w:t>Deployers of emotion recognition or biometric categorisation must inform exposed persons</w:t>
      </w:r>
      <w:bookmarkEnd w:id="5"/>
    </w:p>
    <w:p>
      <w:pPr>
        <w:pStyle w:val="Body"/>
      </w:pPr>
      <w:r>
        <w:rPr/>
        <w:t xml:space="preserve">A deployer of an emotion recognition system or a biometric categorisation system must inform the natural persons exposed to it that the system is operating and must process their personal data in line with the GDPR, the Law Enforcement Directive and the EU institutions data protection regulation. Systems permitted by law to detect, prevent or investigate criminal offences are excepted, subject to safeguards. Use in workplaces and schools is separately banned by Article 5 except for medical or safety reasons.</w:t>
      </w:r>
    </w:p>
    <w:p>
      <w:pPr>
        <w:pStyle w:val="Heading3"/>
      </w:pPr>
      <w:bookmarkStart w:id="6" w:name="_Toc7"/>
      <w:r>
        <w:t>Notice for systems that interact with people</w:t>
      </w:r>
      <w:bookmarkEnd w:id="6"/>
    </w:p>
    <w:p>
      <w:pPr>
        <w:pStyle w:val="Body"/>
      </w:pPr>
      <w:r>
        <w:rPr/>
        <w:t xml:space="preserve">You are interacting with an AI system. [PLACEHOLDER: name of the system and the organisation responsible]. [PLACEHOLDER: how to reach a person, if the service offers one].</w:t>
      </w:r>
    </w:p>
    <w:p>
      <w:pPr>
        <w:pStyle w:val="Body"/>
      </w:pPr>
      <w:r>
        <w:rPr>
          <w:color w:val="B45309"/>
          <w:b w:val="1"/>
          <w:bCs w:val="1"/>
        </w:rPr>
        <w:t xml:space="preserve">[PLACEHOLDER: Where this notice appears in your product, and who owns it]</w:t>
      </w:r>
    </w:p>
    <w:p>
      <w:pPr>
        <w:pStyle w:val="Small"/>
      </w:pPr>
      <w:r>
        <w:rPr>
          <w:color w:val="5D6B7E"/>
          <w:sz w:val="18"/>
          <w:szCs w:val="18"/>
        </w:rPr>
        <w:t xml:space="preserve">Source: </w:t>
      </w:r>
      <w:hyperlink r:id="rId10" w:history="1">
        <w:r>
          <w:rPr>
            <w:color w:val="006AAC"/>
            <w:sz w:val="18"/>
            <w:szCs w:val="18"/>
            <w:u w:val="single"/>
          </w:rPr>
          <w:t xml:space="preserve">Deployers of emotion recognition or biometric categorisation must inform exposed persons — EU AI Act, Article 50(3) (European Union)</w:t>
        </w:r>
      </w:hyperlink>
    </w:p>
    <w:p>
      <w:pPr>
        <w:pStyle w:val="Heading2"/>
      </w:pPr>
      <w:bookmarkStart w:id="7" w:name="_Toc8"/>
      <w:r>
        <w:t>Deployers must disclose deepfakes and AI-generated text published on matters of public interest</w:t>
      </w:r>
      <w:bookmarkEnd w:id="7"/>
    </w:p>
    <w:p>
      <w:pPr>
        <w:pStyle w:val="Body"/>
      </w:pPr>
      <w:r>
        <w:rPr/>
        <w:t xml:space="preserve">A deployer that generates or manipulates image, audio or video content that is a deep fake must disclose that the content has been artificially generated or manipulated, with lighter treatment for evidently artistic, creative, satirical or fictional works so that the disclosure does not spoil the work. A deployer that publishes AI-generated text to inform the public on matters of public interest must disclose this unless the text passed human review or editorial control and someone holds editorial responsibility. The disclosure must reach people clearly at the latest at first exposure.</w:t>
      </w:r>
    </w:p>
    <w:p>
      <w:pPr>
        <w:pStyle w:val="Heading3"/>
      </w:pPr>
      <w:bookmarkStart w:id="8" w:name="_Toc9"/>
      <w:r>
        <w:t>Disclosure for deepfakes</w:t>
      </w:r>
      <w:bookmarkEnd w:id="8"/>
    </w:p>
    <w:p>
      <w:pPr>
        <w:pStyle w:val="Body"/>
      </w:pPr>
      <w:r>
        <w:rPr/>
        <w:t xml:space="preserve">This content has been artificially generated or manipulated. [PLACEHOLDER: what was altered, and by whom].</w:t>
      </w:r>
    </w:p>
    <w:p>
      <w:pPr>
        <w:pStyle w:val="Body"/>
      </w:pPr>
      <w:r>
        <w:rPr>
          <w:color w:val="B45309"/>
          <w:b w:val="1"/>
          <w:bCs w:val="1"/>
        </w:rPr>
        <w:t xml:space="preserve">[PLACEHOLDER: Where this notice appears in your product, and who owns it]</w:t>
      </w:r>
    </w:p>
    <w:p>
      <w:pPr>
        <w:pStyle w:val="Small"/>
      </w:pPr>
      <w:r>
        <w:rPr>
          <w:color w:val="5D6B7E"/>
          <w:sz w:val="18"/>
          <w:szCs w:val="18"/>
        </w:rPr>
        <w:t xml:space="preserve">Source: </w:t>
      </w:r>
      <w:hyperlink r:id="rId11" w:history="1">
        <w:r>
          <w:rPr>
            <w:color w:val="006AAC"/>
            <w:sz w:val="18"/>
            <w:szCs w:val="18"/>
            <w:u w:val="single"/>
          </w:rPr>
          <w:t xml:space="preserve">Deployers must disclose deepfakes and AI-generated text published on matters of public interest — EU AI Act, Article 50(4) (European Union)</w:t>
        </w:r>
      </w:hyperlink>
    </w:p>
    <w:sectPr>
      <w:footerReference w:type="default" r:id="rId12"/>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5D6B7E"/>
        <w:sz w:val="16"/>
        <w:szCs w:val="16"/>
      </w:rPr>
      <w:t xml:space="preserve">EU AI Act Article 50 Transparency Kit · vv1 · aipolicytracker.org · page </w:t>
    </w:r>
    <w:r>
      <w:fldChar w:fldCharType="begin"/>
    </w:r>
    <w:r>
      <w:rPr>
        <w:color w:val="5D6B7E"/>
        <w:sz w:val="16"/>
        <w:szCs w:val="16"/>
      </w:rPr>
      <w:instrText xml:space="preserve">PAGE</w:instrText>
    </w:r>
    <w:r>
      <w:fldChar w:fldCharType="separate"/>
    </w:r>
    <w:r>
      <w:fldChar w:fldCharType="end"/>
    </w:r>
    <w:r>
      <w:rPr>
        <w:color w:val="5D6B7E"/>
        <w:sz w:val="16"/>
        <w:szCs w:val="16"/>
      </w:rPr>
      <w:t xml:space="preserve"> of </w:t>
    </w:r>
    <w:r>
      <w:fldChar w:fldCharType="begin"/>
    </w:r>
    <w:r>
      <w:rPr>
        <w:color w:val="5D6B7E"/>
        <w:sz w:val="16"/>
        <w:szCs w:val="16"/>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Title">
    <w:link w:val="titleChar"/>
    <w:name w:val="title"/>
    <w:basedOn w:val="Normal"/>
    <w:pPr>
      <w:spacing w:after="240"/>
    </w:pPr>
    <w:rPr>
      <w:color w:val="002147"/>
      <w:sz w:val="44"/>
      <w:szCs w:val="44"/>
      <w:b w:val="1"/>
      <w:bCs w:val="1"/>
    </w:rPr>
  </w:style>
  <w:style w:type="paragraph" w:styleId="Heading1">
    <w:link w:val="Heading1Char"/>
    <w:name w:val="heading 1"/>
    <w:basedOn w:val="Normal"/>
    <w:pPr>
      <w:spacing w:before="360" w:after="120"/>
    </w:pPr>
    <w:rPr>
      <w:color w:val="002147"/>
      <w:sz w:val="32"/>
      <w:szCs w:val="32"/>
      <w:b w:val="1"/>
      <w:bCs w:val="1"/>
    </w:rPr>
  </w:style>
  <w:style w:type="paragraph" w:styleId="Heading2">
    <w:link w:val="Heading2Char"/>
    <w:name w:val="heading 2"/>
    <w:basedOn w:val="Normal"/>
    <w:pPr>
      <w:spacing w:before="240" w:after="80"/>
    </w:pPr>
    <w:rPr>
      <w:color w:val="002147"/>
      <w:sz w:val="26"/>
      <w:szCs w:val="26"/>
      <w:b w:val="1"/>
      <w:bCs w:val="1"/>
    </w:rPr>
  </w:style>
  <w:style w:type="paragraph" w:styleId="Heading3">
    <w:link w:val="Heading3Char"/>
    <w:name w:val="heading 3"/>
    <w:basedOn w:val="Normal"/>
    <w:pPr>
      <w:spacing w:before="160" w:after="60"/>
    </w:pPr>
    <w:rPr>
      <w:sz w:val="22"/>
      <w:szCs w:val="22"/>
      <w:b w:val="1"/>
      <w:bCs w:val="1"/>
    </w:rPr>
  </w:style>
  <w:style w:type="paragraph" w:customStyle="1" w:styleId="Body">
    <w:name w:val="Body"/>
    <w:basedOn w:val="Normal"/>
    <w:pPr>
      <w:spacing w:after="120" w:line="276" w:lineRule="auto"/>
    </w:pPr>
  </w:style>
  <w:style w:type="paragraph" w:customStyle="1" w:styleId="Small">
    <w:name w:val="Small"/>
    <w:basedOn w:val="Normal"/>
    <w:pPr>
      <w:spacing w:after="80"/>
    </w:p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BFC7D3"/>
        <w:left w:val="single" w:sz="4" w:color="BFC7D3"/>
        <w:right w:val="single" w:sz="4" w:color="BFC7D3"/>
        <w:bottom w:val="single" w:sz="4" w:color="BFC7D3"/>
        <w:insideH w:val="single" w:sz="4" w:color="BFC7D3"/>
        <w:insideV w:val="single" w:sz="4" w:color="BFC7D3"/>
      </w:tblBorders>
    </w:tblPr>
    <w:tblStylePr w:type="firstRow">
      <w:tcPr>
        <w:tcPr>
          <w:shd w:val="clear" w:fill="E8EDF3"/>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policytracker.org/templates/article-50-transparency-kit" TargetMode="External"/><Relationship Id="rId8" Type="http://schemas.openxmlformats.org/officeDocument/2006/relationships/hyperlink" Target="https://aipolicytracker.org/obligations/eu-ai-act-transparency-article-50" TargetMode="External"/><Relationship Id="rId9" Type="http://schemas.openxmlformats.org/officeDocument/2006/relationships/hyperlink" Target="https://aipolicytracker.org/obligations/eu-ai-act-art-50-2-synthetic-content-marking" TargetMode="External"/><Relationship Id="rId10" Type="http://schemas.openxmlformats.org/officeDocument/2006/relationships/hyperlink" Target="https://aipolicytracker.org/obligations/eu-ai-act-art-50-3-emotion-recognition-notice" TargetMode="External"/><Relationship Id="rId11" Type="http://schemas.openxmlformats.org/officeDocument/2006/relationships/hyperlink" Target="https://aipolicytracker.org/obligations/eu-ai-act-art-50-4-deepfake-and-public-interest-text-disclosure"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aipolicytracker.org</dc:creator>
  <dc:title>EU AI Act Article 50 Transparency Kit</dc:title>
  <dc:description>Notice texts and a checklist for the transparency duties of Article 50: chatbot disclosure, synthetic content marking, deepfake and emotion-recognition notices, with the application date from the record.</dc:description>
  <dc:subject/>
  <cp:keywords/>
  <cp:category/>
  <cp:lastModifiedBy/>
  <dcterms:created xsi:type="dcterms:W3CDTF">2026-09-26T13:05:05+00:00</dcterms:created>
  <dcterms:modified xsi:type="dcterms:W3CDTF">2026-09-26T13:05:05+00:00</dcterms:modified>
</cp:coreProperties>
</file>

<file path=docProps/custom.xml><?xml version="1.0" encoding="utf-8"?>
<Properties xmlns="http://schemas.openxmlformats.org/officeDocument/2006/custom-properties" xmlns:vt="http://schemas.openxmlformats.org/officeDocument/2006/docPropsVTypes"/>
</file>