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Fundamental Rights Impact Assessment (FRIA)</w:t>
      </w:r>
    </w:p>
    <w:p>
      <w:pPr>
        <w:pStyle w:val="Body"/>
      </w:pPr>
      <w:r>
        <w:rPr/>
        <w:t xml:space="preserve">The assessment Article 27 of the EU AI Act requires of deployers of high-risk AI: one section per element the article names, with placeholders, plus a register to track completed assessments.</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https://aipolicytracker.org/templates/fundamental-rights-impact-assessment</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What this assessment is</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System and deployer</w:t>
        </w:r>
        <w:r>
          <w:tab/>
        </w:r>
        <w:r>
          <w:fldChar w:fldCharType="begin"/>
        </w:r>
        <w:r>
          <w:instrText xml:space="preserve">PAGEREF 2 \h</w:instrText>
        </w:r>
        <w:r>
          <w:fldChar w:fldCharType="end"/>
        </w:r>
      </w:hyperlink>
    </w:p>
    <w:p>
      <w:pPr>
        <w:tabs>
          <w:tab w:val="right" w:leader="dot" w:pos="9062"/>
        </w:tabs>
        <w:ind w:left="200"/>
      </w:pPr>
      <w:hyperlink w:anchor="_Toc3" w:history="1">
        <w:r>
          <w:rPr>
            <w:sz w:val="20"/>
            <w:szCs w:val="20"/>
          </w:rPr>
          <w:t>The deployer's processes in which the system will be used</w:t>
        </w:r>
        <w:r>
          <w:tab/>
        </w:r>
        <w:r>
          <w:fldChar w:fldCharType="begin"/>
        </w:r>
        <w:r>
          <w:instrText xml:space="preserve">PAGEREF 3 \h</w:instrText>
        </w:r>
        <w:r>
          <w:fldChar w:fldCharType="end"/>
        </w:r>
      </w:hyperlink>
    </w:p>
    <w:p>
      <w:pPr>
        <w:tabs>
          <w:tab w:val="right" w:leader="dot" w:pos="9062"/>
        </w:tabs>
        <w:ind w:left="200"/>
      </w:pPr>
      <w:hyperlink w:anchor="_Toc4" w:history="1">
        <w:r>
          <w:rPr>
            <w:sz w:val="20"/>
            <w:szCs w:val="20"/>
          </w:rPr>
          <w:t>Period and frequency of use</w:t>
        </w:r>
        <w:r>
          <w:tab/>
        </w:r>
        <w:r>
          <w:fldChar w:fldCharType="begin"/>
        </w:r>
        <w:r>
          <w:instrText xml:space="preserve">PAGEREF 4 \h</w:instrText>
        </w:r>
        <w:r>
          <w:fldChar w:fldCharType="end"/>
        </w:r>
      </w:hyperlink>
    </w:p>
    <w:p>
      <w:pPr>
        <w:tabs>
          <w:tab w:val="right" w:leader="dot" w:pos="9062"/>
        </w:tabs>
        <w:ind w:left="200"/>
      </w:pPr>
      <w:hyperlink w:anchor="_Toc5" w:history="1">
        <w:r>
          <w:rPr>
            <w:sz w:val="20"/>
            <w:szCs w:val="20"/>
          </w:rPr>
          <w:t>Categories of natural persons and groups likely to be affected</w:t>
        </w:r>
        <w:r>
          <w:tab/>
        </w:r>
        <w:r>
          <w:fldChar w:fldCharType="begin"/>
        </w:r>
        <w:r>
          <w:instrText xml:space="preserve">PAGEREF 5 \h</w:instrText>
        </w:r>
        <w:r>
          <w:fldChar w:fldCharType="end"/>
        </w:r>
      </w:hyperlink>
    </w:p>
    <w:p>
      <w:pPr>
        <w:tabs>
          <w:tab w:val="right" w:leader="dot" w:pos="9062"/>
        </w:tabs>
        <w:ind w:left="200"/>
      </w:pPr>
      <w:hyperlink w:anchor="_Toc6" w:history="1">
        <w:r>
          <w:rPr>
            <w:sz w:val="20"/>
            <w:szCs w:val="20"/>
          </w:rPr>
          <w:t>Specific risks of harm to those persons and groups</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Human oversight measures</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Measures if the risks materialise</w:t>
        </w:r>
        <w:r>
          <w:tab/>
        </w:r>
        <w:r>
          <w:fldChar w:fldCharType="begin"/>
        </w:r>
        <w:r>
          <w:instrText xml:space="preserve">PAGEREF 8 \h</w:instrText>
        </w:r>
        <w:r>
          <w:fldChar w:fldCharType="end"/>
        </w:r>
      </w:hyperlink>
    </w:p>
    <w:p>
      <w:pPr>
        <w:tabs>
          <w:tab w:val="right" w:leader="dot" w:pos="9062"/>
        </w:tabs>
      </w:pPr>
      <w:hyperlink w:anchor="_Toc9" w:history="1">
        <w:r>
          <w:rPr>
            <w:sz w:val="20"/>
            <w:szCs w:val="20"/>
          </w:rPr>
          <w:t>Decision and notification</w:t>
        </w:r>
        <w:r>
          <w:tab/>
        </w:r>
        <w:r>
          <w:fldChar w:fldCharType="begin"/>
        </w:r>
        <w:r>
          <w:instrText xml:space="preserve">PAGEREF 9 \h</w:instrText>
        </w:r>
        <w:r>
          <w:fldChar w:fldCharType="end"/>
        </w:r>
      </w:hyperlink>
    </w:p>
    <w:p>
      <w:pPr>
        <w:tabs>
          <w:tab w:val="right" w:leader="dot" w:pos="9062"/>
        </w:tabs>
      </w:pPr>
      <w:hyperlink w:anchor="_Toc10" w:history="1">
        <w:r>
          <w:rPr>
            <w:sz w:val="20"/>
            <w:szCs w:val="20"/>
          </w:rPr>
          <w:t>Duties this assessment serves</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Carry out a fundamental rights impact assessment before deployment</w:t>
        </w:r>
        <w:r>
          <w:tab/>
        </w:r>
        <w:r>
          <w:fldChar w:fldCharType="begin"/>
        </w:r>
        <w:r>
          <w:instrText xml:space="preserve">PAGEREF 11 \h</w:instrText>
        </w:r>
        <w:r>
          <w:fldChar w:fldCharType="end"/>
        </w:r>
      </w:hyperlink>
    </w:p>
    <w:p>
      <w:r>
        <w:fldChar w:fldCharType="end"/>
      </w:r>
    </w:p>
    <w:p>
      <w:r>
        <w:br w:type="page"/>
      </w:r>
    </w:p>
    <w:p>
      <w:pPr>
        <w:pStyle w:val="Heading1"/>
      </w:pPr>
      <w:bookmarkStart w:id="0" w:name="_Toc1"/>
      <w:r>
        <w:t>What this assessment is</w:t>
      </w:r>
      <w:bookmarkEnd w:id="0"/>
    </w:p>
    <w:p>
      <w:pPr>
        <w:pStyle w:val="Body"/>
      </w:pPr>
      <w:r>
        <w:rPr/>
        <w:t xml:space="preserve">A fundamental rights impact assessment is what a deployer of a high-risk AI system completes before first use, covering the elements the EU AI Act names. The sections below follow those elements; the duty each rests on is cited at the end.</w:t>
      </w:r>
    </w:p>
    <w:p>
      <w:pPr>
        <w:pStyle w:val="Heading1"/>
      </w:pPr>
      <w:bookmarkStart w:id="1" w:name="_Toc2"/>
      <w:r>
        <w:t>System and deployer</w:t>
      </w:r>
      <w:bookmarkEnd w:id="1"/>
    </w:p>
    <w:p>
      <w:pPr>
        <w:pStyle w:val="Body"/>
      </w:pPr>
      <w:r>
        <w:rPr>
          <w:color w:val="B45309"/>
          <w:b w:val="1"/>
          <w:bCs w:val="1"/>
        </w:rPr>
        <w:t xml:space="preserve">[PLACEHOLDER: System name, version, provider, and the deployer unit completing this assessment]</w:t>
      </w:r>
    </w:p>
    <w:p>
      <w:pPr>
        <w:pStyle w:val="Body"/>
      </w:pPr>
      <w:r>
        <w:rPr>
          <w:color w:val="B45309"/>
          <w:b w:val="1"/>
          <w:bCs w:val="1"/>
        </w:rPr>
        <w:t xml:space="preserve">[PLACEHOLDER: Date of assessment and the person accountable for it]</w:t>
      </w:r>
    </w:p>
    <w:p>
      <w:pPr>
        <w:pStyle w:val="Heading2"/>
      </w:pPr>
      <w:bookmarkStart w:id="2" w:name="_Toc3"/>
      <w:r>
        <w:t>The deployer's processes in which the system will be used</w:t>
      </w:r>
      <w:bookmarkEnd w:id="2"/>
    </w:p>
    <w:p>
      <w:pPr>
        <w:pStyle w:val="Body"/>
      </w:pPr>
      <w:r>
        <w:rPr/>
        <w:t xml:space="preserve">Describe the process, the decisions it feeds and the deployer's purpose.</w:t>
      </w:r>
    </w:p>
    <w:p>
      <w:pPr>
        <w:pStyle w:val="Body"/>
      </w:pPr>
      <w:r>
        <w:rPr>
          <w:color w:val="B45309"/>
          <w:b w:val="1"/>
          <w:bCs w:val="1"/>
        </w:rPr>
        <w:t xml:space="preserve">[PLACEHOLDER: Your assessment of this element]</w:t>
      </w:r>
    </w:p>
    <w:p>
      <w:pPr>
        <w:pStyle w:val="Heading2"/>
      </w:pPr>
      <w:bookmarkStart w:id="3" w:name="_Toc4"/>
      <w:r>
        <w:t>Period and frequency of use</w:t>
      </w:r>
      <w:bookmarkEnd w:id="3"/>
    </w:p>
    <w:p>
      <w:pPr>
        <w:pStyle w:val="Body"/>
      </w:pPr>
      <w:r>
        <w:rPr/>
        <w:t xml:space="preserve">How long the system is intended to be used and how often.</w:t>
      </w:r>
    </w:p>
    <w:p>
      <w:pPr>
        <w:pStyle w:val="Body"/>
      </w:pPr>
      <w:r>
        <w:rPr>
          <w:color w:val="B45309"/>
          <w:b w:val="1"/>
          <w:bCs w:val="1"/>
        </w:rPr>
        <w:t xml:space="preserve">[PLACEHOLDER: Your assessment of this element]</w:t>
      </w:r>
    </w:p>
    <w:p>
      <w:pPr>
        <w:pStyle w:val="Heading2"/>
      </w:pPr>
      <w:bookmarkStart w:id="4" w:name="_Toc5"/>
      <w:r>
        <w:t>Categories of natural persons and groups likely to be affected</w:t>
      </w:r>
      <w:bookmarkEnd w:id="4"/>
    </w:p>
    <w:p>
      <w:pPr>
        <w:pStyle w:val="Body"/>
      </w:pPr>
      <w:r>
        <w:rPr/>
        <w:t xml:space="preserve">Who is affected, including groups at particular risk.</w:t>
      </w:r>
    </w:p>
    <w:p>
      <w:pPr>
        <w:pStyle w:val="Body"/>
      </w:pPr>
      <w:r>
        <w:rPr>
          <w:color w:val="B45309"/>
          <w:b w:val="1"/>
          <w:bCs w:val="1"/>
        </w:rPr>
        <w:t xml:space="preserve">[PLACEHOLDER: Your assessment of this element]</w:t>
      </w:r>
    </w:p>
    <w:p>
      <w:pPr>
        <w:pStyle w:val="Heading2"/>
      </w:pPr>
      <w:bookmarkStart w:id="5" w:name="_Toc6"/>
      <w:r>
        <w:t>Specific risks of harm to those persons and groups</w:t>
      </w:r>
      <w:bookmarkEnd w:id="5"/>
    </w:p>
    <w:p>
      <w:pPr>
        <w:pStyle w:val="Body"/>
      </w:pPr>
      <w:r>
        <w:rPr/>
        <w:t xml:space="preserve">Taking into account the provider's instructions for use.</w:t>
      </w:r>
    </w:p>
    <w:p>
      <w:pPr>
        <w:pStyle w:val="Body"/>
      </w:pPr>
      <w:r>
        <w:rPr>
          <w:color w:val="B45309"/>
          <w:b w:val="1"/>
          <w:bCs w:val="1"/>
        </w:rPr>
        <w:t xml:space="preserve">[PLACEHOLDER: Your assessment of this element]</w:t>
      </w:r>
    </w:p>
    <w:p>
      <w:pPr>
        <w:pStyle w:val="Heading2"/>
      </w:pPr>
      <w:bookmarkStart w:id="6" w:name="_Toc7"/>
      <w:r>
        <w:t>Human oversight measures</w:t>
      </w:r>
      <w:bookmarkEnd w:id="6"/>
    </w:p>
    <w:p>
      <w:pPr>
        <w:pStyle w:val="Body"/>
      </w:pPr>
      <w:r>
        <w:rPr/>
        <w:t xml:space="preserve">What the deployer will implement, in line with the instructions for use.</w:t>
      </w:r>
    </w:p>
    <w:p>
      <w:pPr>
        <w:pStyle w:val="Body"/>
      </w:pPr>
      <w:r>
        <w:rPr>
          <w:color w:val="B45309"/>
          <w:b w:val="1"/>
          <w:bCs w:val="1"/>
        </w:rPr>
        <w:t xml:space="preserve">[PLACEHOLDER: Your assessment of this element]</w:t>
      </w:r>
    </w:p>
    <w:p>
      <w:pPr>
        <w:pStyle w:val="Heading2"/>
      </w:pPr>
      <w:bookmarkStart w:id="7" w:name="_Toc8"/>
      <w:r>
        <w:t>Measures if the risks materialise</w:t>
      </w:r>
      <w:bookmarkEnd w:id="7"/>
    </w:p>
    <w:p>
      <w:pPr>
        <w:pStyle w:val="Body"/>
      </w:pPr>
      <w:r>
        <w:rPr/>
        <w:t xml:space="preserve">Internal governance arrangements and complaint mechanisms.</w:t>
      </w:r>
    </w:p>
    <w:p>
      <w:pPr>
        <w:pStyle w:val="Body"/>
      </w:pPr>
      <w:r>
        <w:rPr>
          <w:color w:val="B45309"/>
          <w:b w:val="1"/>
          <w:bCs w:val="1"/>
        </w:rPr>
        <w:t xml:space="preserve">[PLACEHOLDER: Your assessment of this element]</w:t>
      </w:r>
    </w:p>
    <w:p>
      <w:pPr>
        <w:pStyle w:val="Heading1"/>
      </w:pPr>
      <w:bookmarkStart w:id="8" w:name="_Toc9"/>
      <w:r>
        <w:t>Decision and notification</w:t>
      </w:r>
      <w:bookmarkEnd w:id="8"/>
    </w:p>
    <w:p>
      <w:pPr>
        <w:pStyle w:val="Body"/>
      </w:pPr>
      <w:r>
        <w:rPr>
          <w:color w:val="B45309"/>
          <w:b w:val="1"/>
          <w:bCs w:val="1"/>
        </w:rPr>
        <w:t xml:space="preserve">[PLACEHOLDER: Decision: proceed, proceed with measures, or do not deploy; and whether the market surveillance authority has been notified]</w:t>
      </w:r>
    </w:p>
    <w:p>
      <w:pPr>
        <w:pStyle w:val="Heading1"/>
      </w:pPr>
      <w:bookmarkStart w:id="9" w:name="_Toc10"/>
      <w:r>
        <w:t>Duties this assessment serves</w:t>
      </w:r>
      <w:bookmarkEnd w:id="9"/>
    </w:p>
    <w:p>
      <w:pPr>
        <w:pStyle w:val="Heading2"/>
      </w:pPr>
      <w:bookmarkStart w:id="10" w:name="_Toc11"/>
      <w:r>
        <w:t>Carry out a fundamental rights impact assessment before deployment</w:t>
      </w:r>
      <w:bookmarkEnd w:id="10"/>
    </w:p>
    <w:p>
      <w:pPr>
        <w:pStyle w:val="Body"/>
      </w:pPr>
      <w:r>
        <w:rPr/>
        <w:t xml:space="preserve">Before deploying most Annex III high-risk systems, deployers that are bodies governed by public law or private entities providing public services, and deployers using systems for creditworthiness assessment or life and health insurance pricing, must assess the impact on fundamental rights: the processes, period and frequency of use, categories of affected persons, specific risks of harm, human-oversight measures and mitigation, and notify the market-surveillance authority of the results.</w:t>
      </w:r>
    </w:p>
    <w:p>
      <w:pPr>
        <w:pStyle w:val="Body"/>
      </w:pPr>
      <w:r>
        <w:rPr/>
        <w:t xml:space="preserve">In practice: Reuse GDPR DPIA workflows and extend them with the Article 27 elements; the AI Office is to provide a template.</w:t>
      </w:r>
    </w:p>
    <w:p>
      <w:pPr>
        <w:pStyle w:val="Small"/>
      </w:pPr>
      <w:r>
        <w:rPr>
          <w:color w:val="5D6B7E"/>
          <w:sz w:val="18"/>
          <w:szCs w:val="18"/>
          <w:i w:val="1"/>
          <w:iCs w:val="1"/>
        </w:rPr>
        <w:t xml:space="preserve">Evidence a reviewer would expect: Fundamental rights impact assessment report.</w:t>
      </w:r>
    </w:p>
    <w:p>
      <w:pPr>
        <w:pStyle w:val="Body"/>
      </w:pPr>
      <w:r>
        <w:rPr>
          <w:color w:val="B45309"/>
          <w:b w:val="1"/>
          <w:bCs w:val="1"/>
        </w:rPr>
        <w:t xml:space="preserve">[PLACEHOLDER: Where this assessment meets the duty]</w:t>
      </w:r>
    </w:p>
    <w:p>
      <w:pPr>
        <w:pStyle w:val="Small"/>
      </w:pPr>
      <w:r>
        <w:rPr>
          <w:color w:val="5D6B7E"/>
          <w:sz w:val="18"/>
          <w:szCs w:val="18"/>
        </w:rPr>
        <w:t xml:space="preserve">Source: </w:t>
      </w:r>
      <w:hyperlink r:id="rId8" w:history="1">
        <w:r>
          <w:rPr>
            <w:color w:val="006AAC"/>
            <w:sz w:val="18"/>
            <w:szCs w:val="18"/>
            <w:u w:val="single"/>
          </w:rPr>
          <w:t xml:space="preserve">Carry out a fundamental rights impact assessment before deployment — EU AI Act, Article 27 (European Union)</w:t>
        </w:r>
      </w:hyperlink>
    </w:p>
    <w:sectPr>
      <w:footerReference w:type="default" r:id="rId9"/>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Fundamental Rights Impact Assessment (FRIA)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fundamental-rights-impact-assessment" TargetMode="External"/><Relationship Id="rId8" Type="http://schemas.openxmlformats.org/officeDocument/2006/relationships/hyperlink" Target="https://aipolicytracker.org/obligations/eu-ai-act-fundamental-rights-impact-assessment"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Fundamental Rights Impact Assessment (FRIA)</dc:title>
  <dc:description>The assessment Article 27 of the EU AI Act requires of deployers of high-risk AI: one section per element the article names, with placeholders, plus a register to track completed assessments.</dc:description>
  <dc:subject/>
  <cp:keywords/>
  <cp:category/>
  <cp:lastModifiedBy/>
  <dcterms:created xsi:type="dcterms:W3CDTF">2026-09-26T13:05:20+00:00</dcterms:created>
  <dcterms:modified xsi:type="dcterms:W3CDTF">2026-09-26T13:05:20+00:00</dcterms:modified>
</cp:coreProperties>
</file>

<file path=docProps/custom.xml><?xml version="1.0" encoding="utf-8"?>
<Properties xmlns="http://schemas.openxmlformats.org/officeDocument/2006/custom-properties" xmlns:vt="http://schemas.openxmlformats.org/officeDocument/2006/docPropsVTypes"/>
</file>