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Human Oversight Procedure</w:t>
      </w:r>
    </w:p>
    <w:p>
      <w:pPr>
        <w:pStyle w:val="Body"/>
      </w:pPr>
      <w:r>
        <w:rPr/>
        <w:t xml:space="preserve">A procedure for the humans who oversee an AI system: what they must be able to do, when they intervene, how an override is recorded, drawn from every recorded oversight duty.</w:t>
      </w:r>
    </w:p>
    <w:tbl>
      <w:tblGrid>
        <w:gridCol w:w="2400" w:type="dxa"/>
        <w:gridCol w:w="7200" w:type="dxa"/>
      </w:tblGrid>
      <w:tblPr>
        <w:tblStyle w:val="Grid"/>
      </w:tblPr>
      <w:tr>
        <w:trPr/>
        <w:tc>
          <w:tcPr>
            <w:tcW w:w="2400" w:type="dxa"/>
            <w:noWrap/>
          </w:tcPr>
          <w:p>
            <w:pPr/>
            <w:r>
              <w:rPr>
                <w:b w:val="1"/>
                <w:bCs w:val="1"/>
              </w:rPr>
              <w:t xml:space="preserve">Version</w:t>
            </w:r>
          </w:p>
        </w:tc>
        <w:tc>
          <w:tcPr>
            <w:tcW w:w="7200" w:type="dxa"/>
            <w:noWrap/>
          </w:tcPr>
          <w:p>
            <w:pPr/>
            <w:r>
              <w:rPr/>
              <w:t xml:space="preserve">v1</w:t>
            </w:r>
          </w:p>
        </w:tc>
      </w:tr>
      <w:tr>
        <w:trPr/>
        <w:tc>
          <w:tcPr>
            <w:tcW w:w="2400" w:type="dxa"/>
            <w:noWrap/>
          </w:tcPr>
          <w:p>
            <w:pPr/>
            <w:r>
              <w:rPr>
                <w:b w:val="1"/>
                <w:bCs w:val="1"/>
              </w:rPr>
              <w:t xml:space="preserve">Generated</w:t>
            </w:r>
          </w:p>
        </w:tc>
        <w:tc>
          <w:tcPr>
            <w:tcW w:w="7200" w:type="dxa"/>
            <w:noWrap/>
          </w:tcPr>
          <w:p>
            <w:pPr/>
            <w:r>
              <w:rPr/>
              <w:t xml:space="preserve">2026-09-26</w:t>
            </w:r>
          </w:p>
        </w:tc>
      </w:tr>
      <w:tr>
        <w:trPr/>
        <w:tc>
          <w:tcPr>
            <w:tcW w:w="2400" w:type="dxa"/>
            <w:noWrap/>
          </w:tcPr>
          <w:p>
            <w:pPr/>
            <w:r>
              <w:rPr>
                <w:b w:val="1"/>
                <w:bCs w:val="1"/>
              </w:rPr>
              <w:t xml:space="preserve">Dataset version</w:t>
            </w:r>
          </w:p>
        </w:tc>
        <w:tc>
          <w:tcPr>
            <w:tcW w:w="7200" w:type="dxa"/>
            <w:noWrap/>
          </w:tcPr>
          <w:p>
            <w:pPr/>
            <w:r>
              <w:rPr/>
              <w:t xml:space="preserve">914895c3103e</w:t>
            </w:r>
          </w:p>
        </w:tc>
      </w:tr>
      <w:tr>
        <w:trPr/>
        <w:tc>
          <w:tcPr>
            <w:tcW w:w="2400" w:type="dxa"/>
            <w:noWrap/>
          </w:tcPr>
          <w:p>
            <w:pPr/>
            <w:r>
              <w:rPr>
                <w:b w:val="1"/>
                <w:bCs w:val="1"/>
              </w:rPr>
              <w:t xml:space="preserve">Source</w:t>
            </w:r>
          </w:p>
        </w:tc>
        <w:tc>
          <w:tcPr>
            <w:tcW w:w="7200" w:type="dxa"/>
            <w:noWrap/>
          </w:tcPr>
          <w:p>
            <w:hyperlink r:id="rId7" w:history="1">
              <w:r>
                <w:rPr>
                  <w:color w:val="006AAC"/>
                  <w:u w:val="single"/>
                </w:rPr>
                <w:t xml:space="preserve">https://aipolicytracker.org/templates/human-oversight-procedure</w:t>
              </w:r>
            </w:hyperlink>
          </w:p>
        </w:tc>
      </w:tr>
      <w:tr>
        <w:trPr/>
        <w:tc>
          <w:tcPr>
            <w:tcW w:w="2400" w:type="dxa"/>
            <w:noWrap/>
          </w:tcPr>
          <w:p>
            <w:pPr/>
            <w:r>
              <w:rPr>
                <w:b w:val="1"/>
                <w:bCs w:val="1"/>
              </w:rPr>
              <w:t xml:space="preserve">Licence</w:t>
            </w:r>
          </w:p>
        </w:tc>
        <w:tc>
          <w:tcPr>
            <w:tcW w:w="7200" w:type="dxa"/>
            <w:noWrap/>
          </w:tcPr>
          <w:p>
            <w:pPr/>
            <w:r>
              <w:rPr/>
              <w:t xml:space="preserve">CC BY 4.0. You may use, adapt and share this template, including commercially, with attribution to aipolicytracker.org.</w:t>
            </w:r>
          </w:p>
        </w:tc>
      </w:tr>
    </w:tbl>
    <w:p/>
    <w:p>
      <w:pPr/>
      <w:r>
        <w:rPr>
          <w:b w:val="1"/>
          <w:bCs w:val="1"/>
        </w:rPr>
        <w:t xml:space="preserve">Disclaimer</w:t>
      </w:r>
    </w:p>
    <w:p>
      <w:pPr>
        <w:pStyle w:val="Small"/>
      </w:pPr>
      <w:r>
        <w:rPr>
          <w:color w:val="5D6B7E"/>
          <w:sz w:val="18"/>
          <w:szCs w:val="18"/>
        </w:rPr>
        <w:t xml:space="preserve">This template is generated from the records on aipolicytracker.org. It is an informational resource, not legal advice, and completing it does not make an organisation compliant with any law or standard. Every row that cites a duty links to the record it came from; check the official source before relying on it.</w:t>
      </w:r>
    </w:p>
    <w:p>
      <w:pPr>
        <w:pStyle w:val="Small"/>
      </w:pPr>
      <w:r>
        <w:rPr>
          <w:color w:val="5D6B7E"/>
          <w:sz w:val="18"/>
          <w:szCs w:val="18"/>
        </w:rPr>
        <w:t xml:space="preserve">Placeholders are shown as [PLACEHOLDER: …] in amber. Replace every one before the document is used; a search for "[PLACEHOLDER" finds any that remain.</w:t>
      </w:r>
    </w:p>
    <w:p>
      <w:pPr/>
      <w:r>
        <w:rPr>
          <w:b w:val="1"/>
          <w:bCs w:val="1"/>
        </w:rPr>
        <w:t xml:space="preserve">Contents</w:t>
      </w:r>
    </w:p>
    <w:p>
      <w:pPr>
        <w:tabs>
          <w:tab w:val="right" w:leader="dot" w:pos="9062"/>
        </w:tabs>
      </w:pPr>
      <w:r>
        <w:fldChar w:fldCharType="begin"/>
      </w:r>
      <w:r>
        <w:instrText xml:space="preserve">TOC \o 1-2 \h \z \u</w:instrText>
      </w:r>
      <w:r>
        <w:fldChar w:fldCharType="separate"/>
      </w:r>
      <w:hyperlink w:anchor="_Toc1" w:history="1">
        <w:r>
          <w:rPr>
            <w:sz w:val="20"/>
            <w:szCs w:val="20"/>
          </w:rPr>
          <w:t>1. Purpose</w:t>
        </w:r>
        <w:r>
          <w:tab/>
        </w:r>
        <w:r>
          <w:fldChar w:fldCharType="begin"/>
        </w:r>
        <w:r>
          <w:instrText xml:space="preserve">PAGEREF 1 \h</w:instrText>
        </w:r>
        <w:r>
          <w:fldChar w:fldCharType="end"/>
        </w:r>
      </w:hyperlink>
    </w:p>
    <w:p>
      <w:pPr>
        <w:tabs>
          <w:tab w:val="right" w:leader="dot" w:pos="9062"/>
        </w:tabs>
      </w:pPr>
      <w:hyperlink w:anchor="_Toc2" w:history="1">
        <w:r>
          <w:rPr>
            <w:sz w:val="20"/>
            <w:szCs w:val="20"/>
          </w:rPr>
          <w:t>2. Roles and competence</w:t>
        </w:r>
        <w:r>
          <w:tab/>
        </w:r>
        <w:r>
          <w:fldChar w:fldCharType="begin"/>
        </w:r>
        <w:r>
          <w:instrText xml:space="preserve">PAGEREF 2 \h</w:instrText>
        </w:r>
        <w:r>
          <w:fldChar w:fldCharType="end"/>
        </w:r>
      </w:hyperlink>
    </w:p>
    <w:p>
      <w:pPr>
        <w:tabs>
          <w:tab w:val="right" w:leader="dot" w:pos="9062"/>
        </w:tabs>
      </w:pPr>
      <w:hyperlink w:anchor="_Toc3" w:history="1">
        <w:r>
          <w:rPr>
            <w:sz w:val="20"/>
            <w:szCs w:val="20"/>
          </w:rPr>
          <w:t>3. What the overseer must be able to do</w:t>
        </w:r>
        <w:r>
          <w:tab/>
        </w:r>
        <w:r>
          <w:fldChar w:fldCharType="begin"/>
        </w:r>
        <w:r>
          <w:instrText xml:space="preserve">PAGEREF 3 \h</w:instrText>
        </w:r>
        <w:r>
          <w:fldChar w:fldCharType="end"/>
        </w:r>
      </w:hyperlink>
    </w:p>
    <w:p>
      <w:pPr>
        <w:tabs>
          <w:tab w:val="right" w:leader="dot" w:pos="9062"/>
        </w:tabs>
      </w:pPr>
      <w:hyperlink w:anchor="_Toc4" w:history="1">
        <w:r>
          <w:rPr>
            <w:sz w:val="20"/>
            <w:szCs w:val="20"/>
          </w:rPr>
          <w:t>4. When to intervene</w:t>
        </w:r>
        <w:r>
          <w:tab/>
        </w:r>
        <w:r>
          <w:fldChar w:fldCharType="begin"/>
        </w:r>
        <w:r>
          <w:instrText xml:space="preserve">PAGEREF 4 \h</w:instrText>
        </w:r>
        <w:r>
          <w:fldChar w:fldCharType="end"/>
        </w:r>
      </w:hyperlink>
    </w:p>
    <w:p>
      <w:pPr>
        <w:tabs>
          <w:tab w:val="right" w:leader="dot" w:pos="9062"/>
        </w:tabs>
      </w:pPr>
      <w:hyperlink w:anchor="_Toc5" w:history="1">
        <w:r>
          <w:rPr>
            <w:sz w:val="20"/>
            <w:szCs w:val="20"/>
          </w:rPr>
          <w:t>5. Recording an intervention</w:t>
        </w:r>
        <w:r>
          <w:tab/>
        </w:r>
        <w:r>
          <w:fldChar w:fldCharType="begin"/>
        </w:r>
        <w:r>
          <w:instrText xml:space="preserve">PAGEREF 5 \h</w:instrText>
        </w:r>
        <w:r>
          <w:fldChar w:fldCharType="end"/>
        </w:r>
      </w:hyperlink>
    </w:p>
    <w:p>
      <w:pPr>
        <w:tabs>
          <w:tab w:val="right" w:leader="dot" w:pos="9062"/>
        </w:tabs>
      </w:pPr>
      <w:hyperlink w:anchor="_Toc6" w:history="1">
        <w:r>
          <w:rPr>
            <w:sz w:val="20"/>
            <w:szCs w:val="20"/>
          </w:rPr>
          <w:t>6. Duties this procedure serves</w:t>
        </w:r>
        <w:r>
          <w:tab/>
        </w:r>
        <w:r>
          <w:fldChar w:fldCharType="begin"/>
        </w:r>
        <w:r>
          <w:instrText xml:space="preserve">PAGEREF 6 \h</w:instrText>
        </w:r>
        <w:r>
          <w:fldChar w:fldCharType="end"/>
        </w:r>
      </w:hyperlink>
    </w:p>
    <w:p>
      <w:pPr>
        <w:tabs>
          <w:tab w:val="right" w:leader="dot" w:pos="9062"/>
        </w:tabs>
        <w:ind w:left="200"/>
      </w:pPr>
      <w:hyperlink w:anchor="_Toc7" w:history="1">
        <w:r>
          <w:rPr>
            <w:sz w:val="20"/>
            <w:szCs w:val="20"/>
          </w:rPr>
          <w:t>Test and monitor systems, enable human control, and be transparent with users (guardrails 4 to 6)</w:t>
        </w:r>
        <w:r>
          <w:tab/>
        </w:r>
        <w:r>
          <w:fldChar w:fldCharType="begin"/>
        </w:r>
        <w:r>
          <w:instrText xml:space="preserve">PAGEREF 7 \h</w:instrText>
        </w:r>
        <w:r>
          <w:fldChar w:fldCharType="end"/>
        </w:r>
      </w:hyperlink>
    </w:p>
    <w:p>
      <w:pPr>
        <w:tabs>
          <w:tab w:val="right" w:leader="dot" w:pos="9062"/>
        </w:tabs>
        <w:ind w:left="200"/>
      </w:pPr>
      <w:hyperlink w:anchor="_Toc8" w:history="1">
        <w:r>
          <w:rPr>
            <w:sz w:val="20"/>
            <w:szCs w:val="20"/>
          </w:rPr>
          <w:t>Enable and assign effective human oversight</w:t>
        </w:r>
        <w:r>
          <w:tab/>
        </w:r>
        <w:r>
          <w:fldChar w:fldCharType="begin"/>
        </w:r>
        <w:r>
          <w:instrText xml:space="preserve">PAGEREF 8 \h</w:instrText>
        </w:r>
        <w:r>
          <w:fldChar w:fldCharType="end"/>
        </w:r>
      </w:hyperlink>
    </w:p>
    <w:p>
      <w:pPr>
        <w:tabs>
          <w:tab w:val="right" w:leader="dot" w:pos="9062"/>
        </w:tabs>
        <w:ind w:left="200"/>
      </w:pPr>
      <w:hyperlink w:anchor="_Toc9" w:history="1">
        <w:r>
          <w:rPr>
            <w:sz w:val="20"/>
            <w:szCs w:val="20"/>
          </w:rPr>
          <w:t>Employers and employment agencies must let candidates request an alternative selection process or accommodation</w:t>
        </w:r>
        <w:r>
          <w:tab/>
        </w:r>
        <w:r>
          <w:fldChar w:fldCharType="begin"/>
        </w:r>
        <w:r>
          <w:instrText xml:space="preserve">PAGEREF 9 \h</w:instrText>
        </w:r>
        <w:r>
          <w:fldChar w:fldCharType="end"/>
        </w:r>
      </w:hyperlink>
    </w:p>
    <w:p>
      <w:pPr>
        <w:tabs>
          <w:tab w:val="right" w:leader="dot" w:pos="9062"/>
        </w:tabs>
        <w:ind w:left="200"/>
      </w:pPr>
      <w:hyperlink w:anchor="_Toc10" w:history="1">
        <w:r>
          <w:rPr>
            <w:sz w:val="20"/>
            <w:szCs w:val="20"/>
          </w:rPr>
          <w:t>Determine the appropriate level of human involvement in AI decisions</w:t>
        </w:r>
        <w:r>
          <w:tab/>
        </w:r>
        <w:r>
          <w:fldChar w:fldCharType="begin"/>
        </w:r>
        <w:r>
          <w:instrText xml:space="preserve">PAGEREF 10 \h</w:instrText>
        </w:r>
        <w:r>
          <w:fldChar w:fldCharType="end"/>
        </w:r>
      </w:hyperlink>
    </w:p>
    <w:p>
      <w:pPr>
        <w:tabs>
          <w:tab w:val="right" w:leader="dot" w:pos="9062"/>
        </w:tabs>
        <w:ind w:left="200"/>
      </w:pPr>
      <w:hyperlink w:anchor="_Toc11" w:history="1">
        <w:r>
          <w:rPr>
            <w:sz w:val="20"/>
            <w:szCs w:val="20"/>
          </w:rPr>
          <w:t>Operators of high-impact AI must ensure human management and supervision</w:t>
        </w:r>
        <w:r>
          <w:tab/>
        </w:r>
        <w:r>
          <w:fldChar w:fldCharType="begin"/>
        </w:r>
        <w:r>
          <w:instrText xml:space="preserve">PAGEREF 11 \h</w:instrText>
        </w:r>
        <w:r>
          <w:fldChar w:fldCharType="end"/>
        </w:r>
      </w:hyperlink>
    </w:p>
    <w:p>
      <w:pPr>
        <w:tabs>
          <w:tab w:val="right" w:leader="dot" w:pos="9062"/>
        </w:tabs>
        <w:ind w:left="200"/>
      </w:pPr>
      <w:hyperlink w:anchor="_Toc12" w:history="1">
        <w:r>
          <w:rPr>
            <w:sz w:val="20"/>
            <w:szCs w:val="20"/>
          </w:rPr>
          <w:t>Respect the right to object to automated decision-making without human intervention</w:t>
        </w:r>
        <w:r>
          <w:tab/>
        </w:r>
        <w:r>
          <w:fldChar w:fldCharType="begin"/>
        </w:r>
        <w:r>
          <w:instrText xml:space="preserve">PAGEREF 12 \h</w:instrText>
        </w:r>
        <w:r>
          <w:fldChar w:fldCharType="end"/>
        </w:r>
      </w:hyperlink>
    </w:p>
    <w:p>
      <w:pPr>
        <w:tabs>
          <w:tab w:val="right" w:leader="dot" w:pos="9062"/>
        </w:tabs>
        <w:ind w:left="200"/>
      </w:pPr>
      <w:hyperlink w:anchor="_Toc13" w:history="1">
        <w:r>
          <w:rPr>
            <w:sz w:val="20"/>
            <w:szCs w:val="20"/>
          </w:rPr>
          <w:t>Provide routes to contest AI outcomes and seek redress</w:t>
        </w:r>
        <w:r>
          <w:tab/>
        </w:r>
        <w:r>
          <w:fldChar w:fldCharType="begin"/>
        </w:r>
        <w:r>
          <w:instrText xml:space="preserve">PAGEREF 13 \h</w:instrText>
        </w:r>
        <w:r>
          <w:fldChar w:fldCharType="end"/>
        </w:r>
      </w:hyperlink>
    </w:p>
    <w:p>
      <w:pPr>
        <w:tabs>
          <w:tab w:val="right" w:leader="dot" w:pos="9062"/>
        </w:tabs>
        <w:ind w:left="200"/>
      </w:pPr>
      <w:hyperlink w:anchor="_Toc14" w:history="1">
        <w:r>
          <w:rPr>
            <w:sz w:val="20"/>
            <w:szCs w:val="20"/>
          </w:rPr>
          <w:t>Apply safeguards to solely automated decisions with significant effects</w:t>
        </w:r>
        <w:r>
          <w:tab/>
        </w:r>
        <w:r>
          <w:fldChar w:fldCharType="begin"/>
        </w:r>
        <w:r>
          <w:instrText xml:space="preserve">PAGEREF 14 \h</w:instrText>
        </w:r>
        <w:r>
          <w:fldChar w:fldCharType="end"/>
        </w:r>
      </w:hyperlink>
    </w:p>
    <w:p>
      <w:r>
        <w:fldChar w:fldCharType="end"/>
      </w:r>
    </w:p>
    <w:p>
      <w:r>
        <w:br w:type="page"/>
      </w:r>
    </w:p>
    <w:p>
      <w:pPr>
        <w:pStyle w:val="Heading1"/>
      </w:pPr>
      <w:bookmarkStart w:id="0" w:name="_Toc1"/>
      <w:r>
        <w:t>1. Purpose</w:t>
      </w:r>
      <w:bookmarkEnd w:id="0"/>
    </w:p>
    <w:p>
      <w:pPr>
        <w:pStyle w:val="Body"/>
      </w:pPr>
      <w:r>
        <w:rPr/>
        <w:t xml:space="preserve">This procedure sets out who oversees each AI system, what they must be able to see and do, when they intervene, and how an intervention is recorded. It is written against every recorded oversight duty, each cited below.</w:t>
      </w:r>
    </w:p>
    <w:p>
      <w:pPr>
        <w:pStyle w:val="Heading1"/>
      </w:pPr>
      <w:bookmarkStart w:id="1" w:name="_Toc2"/>
      <w:r>
        <w:t>2. Roles and competence</w:t>
      </w:r>
      <w:bookmarkEnd w:id="1"/>
    </w:p>
    <w:p>
      <w:pPr>
        <w:pStyle w:val="Body"/>
      </w:pPr>
      <w:r>
        <w:rPr>
          <w:color w:val="B45309"/>
          <w:b w:val="1"/>
          <w:bCs w:val="1"/>
        </w:rPr>
        <w:t xml:space="preserve">[PLACEHOLDER: The overseers for each system, their competence and training, and who they escalate to]</w:t>
      </w:r>
    </w:p>
    <w:p>
      <w:pPr>
        <w:pStyle w:val="Heading1"/>
      </w:pPr>
      <w:bookmarkStart w:id="2" w:name="_Toc3"/>
      <w:r>
        <w:t>3. What the overseer must be able to do</w:t>
      </w:r>
      <w:bookmarkEnd w:id="2"/>
    </w:p>
    <w:p>
      <w:pPr>
        <w:pStyle w:val="Body"/>
        <w:numPr>
          <w:ilvl w:val="0"/>
          <w:numId w:val="8"/>
        </w:numPr>
      </w:pPr>
      <w:r>
        <w:rPr/>
        <w:t xml:space="preserve">Understand the system's capabilities and limitations, and monitor its operation for anomalies.</w:t>
      </w:r>
    </w:p>
    <w:p>
      <w:pPr>
        <w:pStyle w:val="Body"/>
        <w:numPr>
          <w:ilvl w:val="0"/>
          <w:numId w:val="8"/>
        </w:numPr>
      </w:pPr>
      <w:r>
        <w:rPr/>
        <w:t xml:space="preserve">Remain aware of automation bias: the tendency to over-rely on the output.</w:t>
      </w:r>
    </w:p>
    <w:p>
      <w:pPr>
        <w:pStyle w:val="Body"/>
        <w:numPr>
          <w:ilvl w:val="0"/>
          <w:numId w:val="8"/>
        </w:numPr>
      </w:pPr>
      <w:r>
        <w:rPr/>
        <w:t xml:space="preserve">Interpret the output correctly, with the tools and information to do so.</w:t>
      </w:r>
    </w:p>
    <w:p>
      <w:pPr>
        <w:pStyle w:val="Body"/>
        <w:numPr>
          <w:ilvl w:val="0"/>
          <w:numId w:val="8"/>
        </w:numPr>
      </w:pPr>
      <w:r>
        <w:rPr/>
        <w:t xml:space="preserve">Decide not to use the system, or to disregard, override or reverse its output.</w:t>
      </w:r>
    </w:p>
    <w:p>
      <w:pPr>
        <w:pStyle w:val="Body"/>
        <w:numPr>
          <w:ilvl w:val="0"/>
          <w:numId w:val="8"/>
        </w:numPr>
      </w:pPr>
      <w:r>
        <w:rPr/>
        <w:t xml:space="preserve">Intervene in, interrupt or stop the system through a control designed for that purpose.</w:t>
      </w:r>
    </w:p>
    <w:p>
      <w:pPr>
        <w:pStyle w:val="Body"/>
      </w:pPr>
      <w:r>
        <w:rPr>
          <w:color w:val="B45309"/>
          <w:b w:val="1"/>
          <w:bCs w:val="1"/>
        </w:rPr>
        <w:t xml:space="preserve">[PLACEHOLDER: For each system: the interface or control that provides each capability above]</w:t>
      </w:r>
    </w:p>
    <w:p>
      <w:pPr>
        <w:pStyle w:val="Heading1"/>
      </w:pPr>
      <w:bookmarkStart w:id="3" w:name="_Toc4"/>
      <w:r>
        <w:t>4. When to intervene</w:t>
      </w:r>
      <w:bookmarkEnd w:id="3"/>
    </w:p>
    <w:p>
      <w:pPr>
        <w:pStyle w:val="Body"/>
      </w:pPr>
      <w:r>
        <w:rPr>
          <w:color w:val="B45309"/>
          <w:b w:val="1"/>
          <w:bCs w:val="1"/>
        </w:rPr>
        <w:t xml:space="preserve">[PLACEHOLDER: Triggers: confidence thresholds, anomaly alerts, complaints, categories of decision that always need a human]</w:t>
      </w:r>
    </w:p>
    <w:p>
      <w:pPr>
        <w:pStyle w:val="Heading1"/>
      </w:pPr>
      <w:bookmarkStart w:id="4" w:name="_Toc5"/>
      <w:r>
        <w:t>5. Recording an intervention</w:t>
      </w:r>
      <w:bookmarkEnd w:id="4"/>
    </w:p>
    <w:p>
      <w:pPr>
        <w:pStyle w:val="Body"/>
      </w:pPr>
      <w:r>
        <w:rPr/>
        <w:t xml:space="preserve">Every override, suspension or escalation is entered in the override log sheet with the reason and the reviewer. Entries that meet the incident threshold are reported through the incident playbook.</w:t>
      </w:r>
    </w:p>
    <w:p>
      <w:pPr>
        <w:pStyle w:val="Heading1"/>
      </w:pPr>
      <w:bookmarkStart w:id="5" w:name="_Toc6"/>
      <w:r>
        <w:t>6. Duties this procedure serves</w:t>
      </w:r>
      <w:bookmarkEnd w:id="5"/>
    </w:p>
    <w:p>
      <w:pPr>
        <w:pStyle w:val="Heading2"/>
      </w:pPr>
      <w:bookmarkStart w:id="6" w:name="_Toc7"/>
      <w:r>
        <w:t>Test and monitor systems, enable human control, and be transparent with users (guardrails 4 to 6)</w:t>
      </w:r>
      <w:bookmarkEnd w:id="6"/>
    </w:p>
    <w:p>
      <w:pPr>
        <w:pStyle w:val="Body"/>
      </w:pPr>
      <w:r>
        <w:rPr/>
        <w:t xml:space="preserve">Test AI models and systems before deployment and monitor them in operation; enable meaningful human control and intervention; and inform end users about AI-enabled decisions, interactions with AI and AI-generated content.</w:t>
      </w:r>
    </w:p>
    <w:p>
      <w:pPr>
        <w:pStyle w:val="Body"/>
      </w:pPr>
      <w:r>
        <w:rPr/>
        <w:t xml:space="preserve">In practice: Publish AI disclosures, define override paths and keep test and monitoring records.</w:t>
      </w:r>
    </w:p>
    <w:p>
      <w:pPr>
        <w:pStyle w:val="Small"/>
      </w:pPr>
      <w:r>
        <w:rPr>
          <w:color w:val="5D6B7E"/>
          <w:sz w:val="18"/>
          <w:szCs w:val="18"/>
          <w:i w:val="1"/>
          <w:iCs w:val="1"/>
        </w:rPr>
        <w:t xml:space="preserve">Evidence a reviewer would expect: Test reports and user disclosure records.</w:t>
      </w:r>
    </w:p>
    <w:p>
      <w:pPr>
        <w:pStyle w:val="Body"/>
      </w:pPr>
      <w:r>
        <w:rPr>
          <w:color w:val="B45309"/>
          <w:b w:val="1"/>
          <w:bCs w:val="1"/>
        </w:rPr>
        <w:t xml:space="preserve">[PLACEHOLDER: How this procedure meets the duty for the systems in scope]</w:t>
      </w:r>
    </w:p>
    <w:p>
      <w:pPr>
        <w:pStyle w:val="Small"/>
      </w:pPr>
      <w:r>
        <w:rPr>
          <w:color w:val="5D6B7E"/>
          <w:sz w:val="18"/>
          <w:szCs w:val="18"/>
        </w:rPr>
        <w:t xml:space="preserve">Source: </w:t>
      </w:r>
      <w:hyperlink r:id="rId8" w:history="1">
        <w:r>
          <w:rPr>
            <w:color w:val="006AAC"/>
            <w:sz w:val="18"/>
            <w:szCs w:val="18"/>
            <w:u w:val="single"/>
          </w:rPr>
          <w:t xml:space="preserve">Test and monitor systems, enable human control, and be transparent with users (guardrails 4 to 6) — Australian Voluntary AI Safety Standard, Guardrails 4, 5 and 6 (Australia)</w:t>
        </w:r>
      </w:hyperlink>
    </w:p>
    <w:p>
      <w:pPr>
        <w:pStyle w:val="Heading2"/>
      </w:pPr>
      <w:bookmarkStart w:id="7" w:name="_Toc8"/>
      <w:r>
        <w:t>Enable and assign effective human oversight</w:t>
      </w:r>
      <w:bookmarkEnd w:id="7"/>
    </w:p>
    <w:p>
      <w:pPr>
        <w:pStyle w:val="Body"/>
      </w:pPr>
      <w:r>
        <w:rPr/>
        <w:t xml:space="preserve">High-risk systems must be designed with human-machine interface tools so natural persons can effectively oversee them, understand capacities and limitations, avoid automation bias, interpret output, decide not to use the system, and intervene or stop it. Deployers must assign oversight to people with the necessary competence, training and authority. For certain remote biometric identification systems, action requires verification by at least two competent persons.</w:t>
      </w:r>
    </w:p>
    <w:p>
      <w:pPr>
        <w:pStyle w:val="Body"/>
      </w:pPr>
      <w:r>
        <w:rPr/>
        <w:t xml:space="preserve">In practice: Document oversight roles, the "stop" mechanism and override paths for each high-risk deployment.</w:t>
      </w:r>
    </w:p>
    <w:p>
      <w:pPr>
        <w:pStyle w:val="Small"/>
      </w:pPr>
      <w:r>
        <w:rPr>
          <w:color w:val="5D6B7E"/>
          <w:sz w:val="18"/>
          <w:szCs w:val="18"/>
          <w:i w:val="1"/>
          <w:iCs w:val="1"/>
        </w:rPr>
        <w:t xml:space="preserve">Evidence a reviewer would expect: Human oversight procedure and role assignment.</w:t>
      </w:r>
    </w:p>
    <w:p>
      <w:pPr>
        <w:pStyle w:val="Body"/>
      </w:pPr>
      <w:r>
        <w:rPr>
          <w:color w:val="B45309"/>
          <w:b w:val="1"/>
          <w:bCs w:val="1"/>
        </w:rPr>
        <w:t xml:space="preserve">[PLACEHOLDER: How this procedure meets the duty for the systems in scope]</w:t>
      </w:r>
    </w:p>
    <w:p>
      <w:pPr>
        <w:pStyle w:val="Small"/>
      </w:pPr>
      <w:r>
        <w:rPr>
          <w:color w:val="5D6B7E"/>
          <w:sz w:val="18"/>
          <w:szCs w:val="18"/>
        </w:rPr>
        <w:t xml:space="preserve">Source: </w:t>
      </w:r>
      <w:hyperlink r:id="rId9" w:history="1">
        <w:r>
          <w:rPr>
            <w:color w:val="006AAC"/>
            <w:sz w:val="18"/>
            <w:szCs w:val="18"/>
            <w:u w:val="single"/>
          </w:rPr>
          <w:t xml:space="preserve">Enable and assign effective human oversight — EU AI Act, Article 14; Article 26(2) for deployers (European Union)</w:t>
        </w:r>
      </w:hyperlink>
    </w:p>
    <w:p>
      <w:pPr>
        <w:pStyle w:val="Heading2"/>
      </w:pPr>
      <w:bookmarkStart w:id="8" w:name="_Toc9"/>
      <w:r>
        <w:t>Employers and employment agencies must let candidates request an alternative selection process or accommodation</w:t>
      </w:r>
      <w:bookmarkEnd w:id="8"/>
    </w:p>
    <w:p>
      <w:pPr>
        <w:pStyle w:val="Body"/>
      </w:pPr>
      <w:r>
        <w:rPr/>
        <w:t xml:space="preserve">The advance notice to candidates and employees must allow them to request an alternative selection process or a reasonable accommodation. The DCWP rules make clear that the law itself does not require the employer to provide an alternative process, but the request route must exist and accommodation requests remain governed by disability and human-rights law. Instructions for making the request must be included in the notice.</w:t>
      </w:r>
    </w:p>
    <w:p>
      <w:pPr>
        <w:pStyle w:val="Body"/>
      </w:pPr>
      <w:r>
        <w:rPr/>
        <w:t xml:space="preserve">In practice: Provide a request mechanism in the candidate notice and record how each request was handled under the accommodation policy.</w:t>
      </w:r>
    </w:p>
    <w:p>
      <w:pPr>
        <w:pStyle w:val="Small"/>
      </w:pPr>
      <w:r>
        <w:rPr>
          <w:color w:val="5D6B7E"/>
          <w:sz w:val="18"/>
          <w:szCs w:val="18"/>
          <w:i w:val="1"/>
          <w:iCs w:val="1"/>
        </w:rPr>
        <w:t xml:space="preserve">Evidence a reviewer would expect: Alternative-process and accommodation request log.</w:t>
      </w:r>
    </w:p>
    <w:p>
      <w:pPr>
        <w:pStyle w:val="Body"/>
      </w:pPr>
      <w:r>
        <w:rPr>
          <w:color w:val="B45309"/>
          <w:b w:val="1"/>
          <w:bCs w:val="1"/>
        </w:rPr>
        <w:t xml:space="preserve">[PLACEHOLDER: How this procedure meets the duty for the systems in scope]</w:t>
      </w:r>
    </w:p>
    <w:p>
      <w:pPr>
        <w:pStyle w:val="Small"/>
      </w:pPr>
      <w:r>
        <w:rPr>
          <w:color w:val="5D6B7E"/>
          <w:sz w:val="18"/>
          <w:szCs w:val="18"/>
        </w:rPr>
        <w:t xml:space="preserve">Source: </w:t>
      </w:r>
      <w:hyperlink r:id="rId10" w:history="1">
        <w:r>
          <w:rPr>
            <w:color w:val="006AAC"/>
            <w:sz w:val="18"/>
            <w:szCs w:val="18"/>
            <w:u w:val="single"/>
          </w:rPr>
          <w:t xml:space="preserve">Employers and employment agencies must let candidates request an alternative selection process or accommodation — NYC Local Law 144 (automated employment decision tools), NYC Administrative Code Section 20-871(b)(1); 6 RCNY Section 5-303 (New York (United States))</w:t>
        </w:r>
      </w:hyperlink>
    </w:p>
    <w:p>
      <w:pPr>
        <w:pStyle w:val="Heading2"/>
      </w:pPr>
      <w:bookmarkStart w:id="9" w:name="_Toc10"/>
      <w:r>
        <w:t>Determine the appropriate level of human involvement in AI decisions</w:t>
      </w:r>
      <w:bookmarkEnd w:id="9"/>
    </w:p>
    <w:p>
      <w:pPr>
        <w:pStyle w:val="Body"/>
      </w:pPr>
      <w:r>
        <w:rPr/>
        <w:t xml:space="preserve">Using a risk-impact matrix (probability and severity of harm), organisations choose human-in-the-loop, human-over-the-loop or human-out-of-the-loop designs and document the rationale.</w:t>
      </w:r>
    </w:p>
    <w:p>
      <w:pPr>
        <w:pStyle w:val="Body"/>
      </w:pPr>
      <w:r>
        <w:rPr/>
        <w:t xml:space="preserve">In practice: Record the human-involvement choice and rationale for each AI decision point.</w:t>
      </w:r>
    </w:p>
    <w:p>
      <w:pPr>
        <w:pStyle w:val="Small"/>
      </w:pPr>
      <w:r>
        <w:rPr>
          <w:color w:val="5D6B7E"/>
          <w:sz w:val="18"/>
          <w:szCs w:val="18"/>
          <w:i w:val="1"/>
          <w:iCs w:val="1"/>
        </w:rPr>
        <w:t xml:space="preserve">Evidence a reviewer would expect: Risk-impact assessment and human-involvement decision.</w:t>
      </w:r>
    </w:p>
    <w:p>
      <w:pPr>
        <w:pStyle w:val="Body"/>
      </w:pPr>
      <w:r>
        <w:rPr>
          <w:color w:val="B45309"/>
          <w:b w:val="1"/>
          <w:bCs w:val="1"/>
        </w:rPr>
        <w:t xml:space="preserve">[PLACEHOLDER: How this procedure meets the duty for the systems in scope]</w:t>
      </w:r>
    </w:p>
    <w:p>
      <w:pPr>
        <w:pStyle w:val="Small"/>
      </w:pPr>
      <w:r>
        <w:rPr>
          <w:color w:val="5D6B7E"/>
          <w:sz w:val="18"/>
          <w:szCs w:val="18"/>
        </w:rPr>
        <w:t xml:space="preserve">Source: </w:t>
      </w:r>
      <w:hyperlink r:id="rId11" w:history="1">
        <w:r>
          <w:rPr>
            <w:color w:val="006AAC"/>
            <w:sz w:val="18"/>
            <w:szCs w:val="18"/>
            <w:u w:val="single"/>
          </w:rPr>
          <w:t xml:space="preserve">Determine the appropriate level of human involvement in AI decisions — Singapore Model AI Governance Framework, Second edition, Part on human involvement in AI-augmented decision-making (Singapore)</w:t>
        </w:r>
      </w:hyperlink>
    </w:p>
    <w:p>
      <w:pPr>
        <w:pStyle w:val="Heading2"/>
      </w:pPr>
      <w:bookmarkStart w:id="10" w:name="_Toc11"/>
      <w:r>
        <w:t>Operators of high-impact AI must ensure human management and supervision</w:t>
      </w:r>
      <w:bookmarkEnd w:id="10"/>
    </w:p>
    <w:p>
      <w:pPr>
        <w:pStyle w:val="Body"/>
      </w:pPr>
      <w:r>
        <w:rPr/>
        <w:t xml:space="preserve">Operators of high-impact AI must ensure that the AI is subject to human management and supervision, so that people remain able to monitor its operation and intervene in or override its outputs where those outputs may affect life, physical safety or fundamental rights.</w:t>
      </w:r>
    </w:p>
    <w:p>
      <w:pPr>
        <w:pStyle w:val="Body"/>
      </w:pPr>
      <w:r>
        <w:rPr/>
        <w:t xml:space="preserve">In practice: Assign accountable supervisors for each high-impact system and design the interface so they can pause, correct or overrule outputs.</w:t>
      </w:r>
    </w:p>
    <w:p>
      <w:pPr>
        <w:pStyle w:val="Small"/>
      </w:pPr>
      <w:r>
        <w:rPr>
          <w:color w:val="5D6B7E"/>
          <w:sz w:val="18"/>
          <w:szCs w:val="18"/>
          <w:i w:val="1"/>
          <w:iCs w:val="1"/>
        </w:rPr>
        <w:t xml:space="preserve">Evidence a reviewer would expect: Human supervision design and assigned supervisors.</w:t>
      </w:r>
    </w:p>
    <w:p>
      <w:pPr>
        <w:pStyle w:val="Body"/>
      </w:pPr>
      <w:r>
        <w:rPr>
          <w:color w:val="B45309"/>
          <w:b w:val="1"/>
          <w:bCs w:val="1"/>
        </w:rPr>
        <w:t xml:space="preserve">[PLACEHOLDER: How this procedure meets the duty for the systems in scope]</w:t>
      </w:r>
    </w:p>
    <w:p>
      <w:pPr>
        <w:pStyle w:val="Small"/>
      </w:pPr>
      <w:r>
        <w:rPr>
          <w:color w:val="5D6B7E"/>
          <w:sz w:val="18"/>
          <w:szCs w:val="18"/>
        </w:rPr>
        <w:t xml:space="preserve">Source: </w:t>
      </w:r>
      <w:hyperlink r:id="rId12" w:history="1">
        <w:r>
          <w:rPr>
            <w:color w:val="006AAC"/>
            <w:sz w:val="18"/>
            <w:szCs w:val="18"/>
            <w:u w:val="single"/>
          </w:rPr>
          <w:t xml:space="preserve">Operators of high-impact AI must ensure human management and supervision — Framework Act on the Development of Artificial Intelligence and Establishment of a Foundation for Trust, Article 34(1) (South Korea)</w:t>
        </w:r>
      </w:hyperlink>
    </w:p>
    <w:p>
      <w:pPr>
        <w:pStyle w:val="Heading2"/>
      </w:pPr>
      <w:bookmarkStart w:id="11" w:name="_Toc12"/>
      <w:r>
        <w:t>Respect the right to object to automated decision-making without human intervention</w:t>
      </w:r>
      <w:bookmarkEnd w:id="11"/>
    </w:p>
    <w:p>
      <w:pPr>
        <w:pStyle w:val="Body"/>
      </w:pPr>
      <w:r>
        <w:rPr/>
        <w:t xml:space="preserve">Data subjects may object to decisions based solely on automated processing, including profiling, that produce legal or similarly serious effects, subject to exceptions such as contractual necessity or consent.</w:t>
      </w:r>
    </w:p>
    <w:p>
      <w:pPr>
        <w:pStyle w:val="Body"/>
      </w:pPr>
      <w:r>
        <w:rPr/>
        <w:t xml:space="preserve">In practice: Provide a human-review route for significant automated decisions affecting UAE residents.</w:t>
      </w:r>
    </w:p>
    <w:p>
      <w:pPr>
        <w:pStyle w:val="Small"/>
      </w:pPr>
      <w:r>
        <w:rPr>
          <w:color w:val="5D6B7E"/>
          <w:sz w:val="18"/>
          <w:szCs w:val="18"/>
          <w:i w:val="1"/>
          <w:iCs w:val="1"/>
        </w:rPr>
        <w:t xml:space="preserve">Evidence a reviewer would expect: Automated decision objection procedure.</w:t>
      </w:r>
    </w:p>
    <w:p>
      <w:pPr>
        <w:pStyle w:val="Body"/>
      </w:pPr>
      <w:r>
        <w:rPr>
          <w:color w:val="B45309"/>
          <w:b w:val="1"/>
          <w:bCs w:val="1"/>
        </w:rPr>
        <w:t xml:space="preserve">[PLACEHOLDER: How this procedure meets the duty for the systems in scope]</w:t>
      </w:r>
    </w:p>
    <w:p>
      <w:pPr>
        <w:pStyle w:val="Small"/>
      </w:pPr>
      <w:r>
        <w:rPr>
          <w:color w:val="5D6B7E"/>
          <w:sz w:val="18"/>
          <w:szCs w:val="18"/>
        </w:rPr>
        <w:t xml:space="preserve">Source: </w:t>
      </w:r>
      <w:hyperlink r:id="rId13" w:history="1">
        <w:r>
          <w:rPr>
            <w:color w:val="006AAC"/>
            <w:sz w:val="18"/>
            <w:szCs w:val="18"/>
            <w:u w:val="single"/>
          </w:rPr>
          <w:t xml:space="preserve">Respect the right to object to automated decision-making without human intervention — UAE PDPL, Article on data-subject rights relating to automated processing (reviewer to cite article number) (United Arab Emirates)</w:t>
        </w:r>
      </w:hyperlink>
    </w:p>
    <w:p>
      <w:pPr>
        <w:pStyle w:val="Heading2"/>
      </w:pPr>
      <w:bookmarkStart w:id="12" w:name="_Toc13"/>
      <w:r>
        <w:t>Provide routes to contest AI outcomes and seek redress</w:t>
      </w:r>
      <w:bookmarkEnd w:id="12"/>
    </w:p>
    <w:p>
      <w:pPr>
        <w:pStyle w:val="Body"/>
      </w:pPr>
      <w:r>
        <w:rPr/>
        <w:t xml:space="preserve">Affected people should be able to contest harmful AI decisions or outcomes and obtain redress, through existing complaint routes and regulators.</w:t>
      </w:r>
    </w:p>
    <w:p>
      <w:pPr>
        <w:pStyle w:val="Body"/>
      </w:pPr>
      <w:r>
        <w:rPr/>
        <w:t xml:space="preserve">In practice: Add an AI-decision challenge route to customer complaint procedures.</w:t>
      </w:r>
    </w:p>
    <w:p>
      <w:pPr>
        <w:pStyle w:val="Small"/>
      </w:pPr>
      <w:r>
        <w:rPr>
          <w:color w:val="5D6B7E"/>
          <w:sz w:val="18"/>
          <w:szCs w:val="18"/>
          <w:i w:val="1"/>
          <w:iCs w:val="1"/>
        </w:rPr>
        <w:t xml:space="preserve">Evidence a reviewer would expect: Contest and redress procedure.</w:t>
      </w:r>
    </w:p>
    <w:p>
      <w:pPr>
        <w:pStyle w:val="Body"/>
      </w:pPr>
      <w:r>
        <w:rPr>
          <w:color w:val="B45309"/>
          <w:b w:val="1"/>
          <w:bCs w:val="1"/>
        </w:rPr>
        <w:t xml:space="preserve">[PLACEHOLDER: How this procedure meets the duty for the systems in scope]</w:t>
      </w:r>
    </w:p>
    <w:p>
      <w:pPr>
        <w:pStyle w:val="Small"/>
      </w:pPr>
      <w:r>
        <w:rPr>
          <w:color w:val="5D6B7E"/>
          <w:sz w:val="18"/>
          <w:szCs w:val="18"/>
        </w:rPr>
        <w:t xml:space="preserve">Source: </w:t>
      </w:r>
      <w:hyperlink r:id="rId14" w:history="1">
        <w:r>
          <w:rPr>
            <w:color w:val="006AAC"/>
            <w:sz w:val="18"/>
            <w:szCs w:val="18"/>
            <w:u w:val="single"/>
          </w:rPr>
          <w:t xml:space="preserve">Provide routes to contest AI outcomes and seek redress — UK AI regulation framework, Principle 5, Part 3 (United Kingdom)</w:t>
        </w:r>
      </w:hyperlink>
    </w:p>
    <w:p>
      <w:pPr>
        <w:pStyle w:val="Heading2"/>
      </w:pPr>
      <w:bookmarkStart w:id="13" w:name="_Toc14"/>
      <w:r>
        <w:t>Apply safeguards to solely automated decisions with significant effects</w:t>
      </w:r>
      <w:bookmarkEnd w:id="13"/>
    </w:p>
    <w:p>
      <w:pPr>
        <w:pStyle w:val="Body"/>
      </w:pPr>
      <w:r>
        <w:rPr/>
        <w:t xml:space="preserve">Individuals have rights in relation to solely automated decisions that produce legal or similarly significant effects, including being told about the decision, obtaining human intervention, and contesting it. The Data (Use and Access) Act 2025 amended these rules; the reviewer must confirm the current wording.</w:t>
      </w:r>
    </w:p>
    <w:p>
      <w:pPr>
        <w:pStyle w:val="Body"/>
      </w:pPr>
      <w:r>
        <w:rPr/>
        <w:t xml:space="preserve">In practice: Map every significant automated decision, add a human-review route and a notice to affected people.</w:t>
      </w:r>
    </w:p>
    <w:p>
      <w:pPr>
        <w:pStyle w:val="Small"/>
      </w:pPr>
      <w:r>
        <w:rPr>
          <w:color w:val="5D6B7E"/>
          <w:sz w:val="18"/>
          <w:szCs w:val="18"/>
          <w:i w:val="1"/>
          <w:iCs w:val="1"/>
        </w:rPr>
        <w:t xml:space="preserve">Evidence a reviewer would expect: Automated decision register and review procedure.</w:t>
      </w:r>
    </w:p>
    <w:p>
      <w:pPr>
        <w:pStyle w:val="Body"/>
      </w:pPr>
      <w:r>
        <w:rPr>
          <w:color w:val="B45309"/>
          <w:b w:val="1"/>
          <w:bCs w:val="1"/>
        </w:rPr>
        <w:t xml:space="preserve">[PLACEHOLDER: How this procedure meets the duty for the systems in scope]</w:t>
      </w:r>
    </w:p>
    <w:p>
      <w:pPr>
        <w:pStyle w:val="Small"/>
      </w:pPr>
      <w:r>
        <w:rPr>
          <w:color w:val="5D6B7E"/>
          <w:sz w:val="18"/>
          <w:szCs w:val="18"/>
        </w:rPr>
        <w:t xml:space="preserve">Source: </w:t>
      </w:r>
      <w:hyperlink r:id="rId15" w:history="1">
        <w:r>
          <w:rPr>
            <w:color w:val="006AAC"/>
            <w:sz w:val="18"/>
            <w:szCs w:val="18"/>
            <w:u w:val="single"/>
          </w:rPr>
          <w:t xml:space="preserve">Apply safeguards to solely automated decisions with significant effects — ICO AI guidance, UK GDPR Article 22 as amended by the Data (Use and Access) Act 2025 (United Kingdom)</w:t>
        </w:r>
      </w:hyperlink>
    </w:p>
    <w:sectPr>
      <w:footerReference w:type="default" r:id="rId16"/>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5D6B7E"/>
        <w:sz w:val="16"/>
        <w:szCs w:val="16"/>
      </w:rPr>
      <w:t xml:space="preserve">Human Oversight Procedure · vv1 · aipolicytracker.org · page </w:t>
    </w:r>
    <w:r>
      <w:fldChar w:fldCharType="begin"/>
    </w:r>
    <w:r>
      <w:rPr>
        <w:color w:val="5D6B7E"/>
        <w:sz w:val="16"/>
        <w:szCs w:val="16"/>
      </w:rPr>
      <w:instrText xml:space="preserve">PAGE</w:instrText>
    </w:r>
    <w:r>
      <w:fldChar w:fldCharType="separate"/>
    </w:r>
    <w:r>
      <w:fldChar w:fldCharType="end"/>
    </w:r>
    <w:r>
      <w:rPr>
        <w:color w:val="5D6B7E"/>
        <w:sz w:val="16"/>
        <w:szCs w:val="16"/>
      </w:rPr>
      <w:t xml:space="preserve"> of </w:t>
    </w:r>
    <w:r>
      <w:fldChar w:fldCharType="begin"/>
    </w:r>
    <w:r>
      <w:rPr>
        <w:color w:val="5D6B7E"/>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50A81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Title">
    <w:link w:val="titleChar"/>
    <w:name w:val="title"/>
    <w:basedOn w:val="Normal"/>
    <w:pPr>
      <w:spacing w:after="240"/>
    </w:pPr>
    <w:rPr>
      <w:color w:val="002147"/>
      <w:sz w:val="44"/>
      <w:szCs w:val="44"/>
      <w:b w:val="1"/>
      <w:bCs w:val="1"/>
    </w:rPr>
  </w:style>
  <w:style w:type="paragraph" w:styleId="Heading1">
    <w:link w:val="Heading1Char"/>
    <w:name w:val="heading 1"/>
    <w:basedOn w:val="Normal"/>
    <w:pPr>
      <w:spacing w:before="360" w:after="120"/>
    </w:pPr>
    <w:rPr>
      <w:color w:val="002147"/>
      <w:sz w:val="32"/>
      <w:szCs w:val="32"/>
      <w:b w:val="1"/>
      <w:bCs w:val="1"/>
    </w:rPr>
  </w:style>
  <w:style w:type="paragraph" w:styleId="Heading2">
    <w:link w:val="Heading2Char"/>
    <w:name w:val="heading 2"/>
    <w:basedOn w:val="Normal"/>
    <w:pPr>
      <w:spacing w:before="240" w:after="80"/>
    </w:pPr>
    <w:rPr>
      <w:color w:val="002147"/>
      <w:sz w:val="26"/>
      <w:szCs w:val="26"/>
      <w:b w:val="1"/>
      <w:bCs w:val="1"/>
    </w:rPr>
  </w:style>
  <w:style w:type="paragraph" w:styleId="Heading3">
    <w:link w:val="Heading3Char"/>
    <w:name w:val="heading 3"/>
    <w:basedOn w:val="Normal"/>
    <w:pPr>
      <w:spacing w:before="160" w:after="60"/>
    </w:pPr>
    <w:rPr>
      <w:sz w:val="22"/>
      <w:szCs w:val="22"/>
      <w:b w:val="1"/>
      <w:bCs w:val="1"/>
    </w:rPr>
  </w:style>
  <w:style w:type="paragraph" w:customStyle="1" w:styleId="Body">
    <w:name w:val="Body"/>
    <w:basedOn w:val="Normal"/>
    <w:pPr>
      <w:spacing w:after="120" w:line="276" w:lineRule="auto"/>
    </w:pPr>
  </w:style>
  <w:style w:type="paragraph" w:customStyle="1" w:styleId="Small">
    <w:name w:val="Small"/>
    <w:basedOn w:val="Normal"/>
    <w:pPr>
      <w:spacing w:after="80"/>
    </w:p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BFC7D3"/>
        <w:left w:val="single" w:sz="4" w:color="BFC7D3"/>
        <w:right w:val="single" w:sz="4" w:color="BFC7D3"/>
        <w:bottom w:val="single" w:sz="4" w:color="BFC7D3"/>
        <w:insideH w:val="single" w:sz="4" w:color="BFC7D3"/>
        <w:insideV w:val="single" w:sz="4" w:color="BFC7D3"/>
      </w:tblBorders>
    </w:tblPr>
    <w:tblStylePr w:type="firstRow">
      <w:tcPr>
        <w:tcPr>
          <w:shd w:val="clear" w:fill="E8EDF3"/>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policytracker.org/templates/human-oversight-procedure" TargetMode="External"/><Relationship Id="rId8" Type="http://schemas.openxmlformats.org/officeDocument/2006/relationships/hyperlink" Target="https://aipolicytracker.org/obligations/australia-vaiss-testing-human-control-transparency" TargetMode="External"/><Relationship Id="rId9" Type="http://schemas.openxmlformats.org/officeDocument/2006/relationships/hyperlink" Target="https://aipolicytracker.org/obligations/eu-ai-act-human-oversight" TargetMode="External"/><Relationship Id="rId10" Type="http://schemas.openxmlformats.org/officeDocument/2006/relationships/hyperlink" Target="https://aipolicytracker.org/obligations/us-new-york-city-local-law-144-alternative-process-request" TargetMode="External"/><Relationship Id="rId11" Type="http://schemas.openxmlformats.org/officeDocument/2006/relationships/hyperlink" Target="https://aipolicytracker.org/obligations/singapore-mgf-human-involvement" TargetMode="External"/><Relationship Id="rId12" Type="http://schemas.openxmlformats.org/officeDocument/2006/relationships/hyperlink" Target="https://aipolicytracker.org/obligations/south-korea-ai-basic-act-art-34-high-impact-ai-human-oversight" TargetMode="External"/><Relationship Id="rId13" Type="http://schemas.openxmlformats.org/officeDocument/2006/relationships/hyperlink" Target="https://aipolicytracker.org/obligations/uae-pdpl-automated-decision-objection" TargetMode="External"/><Relationship Id="rId14" Type="http://schemas.openxmlformats.org/officeDocument/2006/relationships/hyperlink" Target="https://aipolicytracker.org/obligations/uk-principles-contestability-redress" TargetMode="External"/><Relationship Id="rId15" Type="http://schemas.openxmlformats.org/officeDocument/2006/relationships/hyperlink" Target="https://aipolicytracker.org/obligations/uk-ico-automated-decision-safeguards" TargetMode="Externa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aipolicytracker.org</dc:creator>
  <dc:title>Human Oversight Procedure</dc:title>
  <dc:description>A procedure for the humans who oversee an AI system: what they must be able to do, when they intervene, how an override is recorded, drawn from every recorded oversight duty.</dc:description>
  <dc:subject/>
  <cp:keywords/>
  <cp:category/>
  <cp:lastModifiedBy/>
  <dcterms:created xsi:type="dcterms:W3CDTF">2026-09-26T13:05:04+00:00</dcterms:created>
  <dcterms:modified xsi:type="dcterms:W3CDTF">2026-09-26T13:05:04+00:00</dcterms:modified>
</cp:coreProperties>
</file>

<file path=docProps/custom.xml><?xml version="1.0" encoding="utf-8"?>
<Properties xmlns="http://schemas.openxmlformats.org/officeDocument/2006/custom-properties" xmlns:vt="http://schemas.openxmlformats.org/officeDocument/2006/docPropsVTypes"/>
</file>